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11E" w:rsidRPr="0044111E" w:rsidRDefault="0044111E" w:rsidP="0044111E">
      <w:pPr>
        <w:shd w:val="clear" w:color="auto" w:fill="FFFFFF"/>
        <w:spacing w:after="200" w:line="276" w:lineRule="atLeast"/>
        <w:ind w:left="1134" w:right="1134" w:firstLine="0"/>
        <w:jc w:val="center"/>
        <w:rPr>
          <w:rFonts w:ascii="Arial" w:eastAsia="Times New Roman" w:hAnsi="Arial" w:cs="Arial"/>
          <w:b/>
          <w:bCs/>
          <w:caps/>
          <w:color w:val="000000"/>
          <w:sz w:val="27"/>
          <w:szCs w:val="27"/>
          <w:lang w:eastAsia="ru-RU"/>
        </w:rPr>
      </w:pPr>
      <w:r w:rsidRPr="0044111E">
        <w:rPr>
          <w:rFonts w:ascii="Arial" w:eastAsia="Times New Roman" w:hAnsi="Arial" w:cs="Arial"/>
          <w:b/>
          <w:bCs/>
          <w:caps/>
          <w:color w:val="000000"/>
          <w:sz w:val="27"/>
          <w:szCs w:val="27"/>
          <w:lang w:eastAsia="ru-RU"/>
        </w:rPr>
        <w:t>ЗАКОН КЫРГЫЗСКОЙ РЕСПУБЛИКИ</w:t>
      </w:r>
    </w:p>
    <w:p w:rsidR="0044111E" w:rsidRPr="0044111E" w:rsidRDefault="0044111E" w:rsidP="0044111E">
      <w:pPr>
        <w:shd w:val="clear" w:color="auto" w:fill="FFFFFF"/>
        <w:spacing w:before="200" w:after="200" w:line="230" w:lineRule="atLeast"/>
        <w:ind w:firstLine="0"/>
        <w:jc w:val="center"/>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г.Бишкек, от 23 июля 2002 года N 121</w:t>
      </w:r>
    </w:p>
    <w:p w:rsidR="0044111E" w:rsidRPr="0044111E" w:rsidRDefault="0044111E" w:rsidP="0044111E">
      <w:pPr>
        <w:shd w:val="clear" w:color="auto" w:fill="FFFFFF"/>
        <w:spacing w:before="400" w:after="400" w:line="276" w:lineRule="atLeast"/>
        <w:ind w:left="1134" w:right="1134" w:firstLine="0"/>
        <w:jc w:val="center"/>
        <w:rPr>
          <w:rFonts w:ascii="Arial" w:eastAsia="Times New Roman" w:hAnsi="Arial" w:cs="Arial"/>
          <w:b/>
          <w:bCs/>
          <w:color w:val="000000"/>
          <w:sz w:val="27"/>
          <w:szCs w:val="27"/>
          <w:lang w:eastAsia="ru-RU"/>
        </w:rPr>
      </w:pPr>
      <w:r w:rsidRPr="0044111E">
        <w:rPr>
          <w:rFonts w:ascii="Arial" w:eastAsia="Times New Roman" w:hAnsi="Arial" w:cs="Arial"/>
          <w:b/>
          <w:bCs/>
          <w:color w:val="000000"/>
          <w:sz w:val="27"/>
          <w:szCs w:val="27"/>
          <w:lang w:eastAsia="ru-RU"/>
        </w:rPr>
        <w:t>О финансовой аренде (лизинге)</w:t>
      </w:r>
    </w:p>
    <w:p w:rsidR="0044111E" w:rsidRPr="0044111E" w:rsidRDefault="0044111E" w:rsidP="0044111E">
      <w:pPr>
        <w:shd w:val="clear" w:color="auto" w:fill="FFFFFF"/>
        <w:spacing w:after="200" w:line="230" w:lineRule="atLeast"/>
        <w:ind w:left="1134" w:right="1134" w:firstLine="0"/>
        <w:jc w:val="center"/>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4"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Целями настоящего Закона являются развитие форм инвестиций на основе финансовой аренды - лизинга (далее - лизинг), защита прав собственности, прав участников инвестиционного процесса, обеспечение эффективности инвестирования.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В настоящем Законе определены правовые и организационно-экономические особенности лизинга.</w:t>
      </w:r>
    </w:p>
    <w:p w:rsidR="0044111E" w:rsidRPr="0044111E" w:rsidRDefault="0044111E" w:rsidP="0044111E">
      <w:pPr>
        <w:shd w:val="clear" w:color="auto" w:fill="FFFFFF"/>
        <w:spacing w:before="200" w:after="200" w:line="276" w:lineRule="atLeast"/>
        <w:ind w:left="1134" w:right="1134" w:firstLine="0"/>
        <w:jc w:val="center"/>
        <w:rPr>
          <w:rFonts w:ascii="Arial" w:eastAsia="Times New Roman" w:hAnsi="Arial" w:cs="Arial"/>
          <w:b/>
          <w:bCs/>
          <w:color w:val="000000"/>
          <w:sz w:val="27"/>
          <w:szCs w:val="27"/>
          <w:lang w:eastAsia="ru-RU"/>
        </w:rPr>
      </w:pPr>
      <w:bookmarkStart w:id="0" w:name="r1"/>
      <w:bookmarkEnd w:id="0"/>
      <w:r w:rsidRPr="0044111E">
        <w:rPr>
          <w:rFonts w:ascii="Arial" w:eastAsia="Times New Roman" w:hAnsi="Arial" w:cs="Arial"/>
          <w:b/>
          <w:bCs/>
          <w:color w:val="000000"/>
          <w:sz w:val="27"/>
          <w:szCs w:val="27"/>
          <w:lang w:eastAsia="ru-RU"/>
        </w:rPr>
        <w:t>Раздел 1</w:t>
      </w:r>
      <w:r w:rsidRPr="0044111E">
        <w:rPr>
          <w:rFonts w:ascii="Arial" w:eastAsia="Times New Roman" w:hAnsi="Arial" w:cs="Arial"/>
          <w:b/>
          <w:bCs/>
          <w:color w:val="000000"/>
          <w:sz w:val="27"/>
          <w:szCs w:val="27"/>
          <w:lang w:eastAsia="ru-RU"/>
        </w:rPr>
        <w:br/>
        <w:t>Общие положени</w:t>
      </w:r>
      <w:bookmarkStart w:id="1" w:name="_GoBack"/>
      <w:bookmarkEnd w:id="1"/>
      <w:r w:rsidRPr="0044111E">
        <w:rPr>
          <w:rFonts w:ascii="Arial" w:eastAsia="Times New Roman" w:hAnsi="Arial" w:cs="Arial"/>
          <w:b/>
          <w:bCs/>
          <w:color w:val="000000"/>
          <w:sz w:val="27"/>
          <w:szCs w:val="27"/>
          <w:lang w:eastAsia="ru-RU"/>
        </w:rPr>
        <w:t>я</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 w:name="st_1"/>
      <w:bookmarkEnd w:id="2"/>
      <w:r w:rsidRPr="0044111E">
        <w:rPr>
          <w:rFonts w:ascii="Arial" w:eastAsia="Times New Roman" w:hAnsi="Arial" w:cs="Arial"/>
          <w:b/>
          <w:bCs/>
          <w:color w:val="000000"/>
          <w:sz w:val="20"/>
          <w:szCs w:val="20"/>
          <w:lang w:eastAsia="ru-RU"/>
        </w:rPr>
        <w:t>Статья 1. Сфера применения настоящего Закона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Сферой применения настоящего Закона является лизинг имущества, относящегося к непотребляемым вещам, включая земельные участки (кроме других природных объектов), передаваемого во временное владение и пользование физическим и юридическим лицам.</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Правоотношения по лизингу регулируются Гражданским </w:t>
      </w:r>
      <w:hyperlink r:id="rId5" w:anchor="p6" w:history="1">
        <w:r w:rsidRPr="0044111E">
          <w:rPr>
            <w:rFonts w:ascii="Arial" w:eastAsia="Times New Roman" w:hAnsi="Arial" w:cs="Arial"/>
            <w:color w:val="990066"/>
            <w:sz w:val="20"/>
            <w:szCs w:val="20"/>
            <w:u w:val="single"/>
            <w:lang w:eastAsia="ru-RU"/>
          </w:rPr>
          <w:t>кодексом</w:t>
        </w:r>
      </w:hyperlink>
      <w:r w:rsidRPr="0044111E">
        <w:rPr>
          <w:rFonts w:ascii="Arial" w:eastAsia="Times New Roman" w:hAnsi="Arial" w:cs="Arial"/>
          <w:color w:val="000000"/>
          <w:sz w:val="20"/>
          <w:szCs w:val="20"/>
          <w:lang w:eastAsia="ru-RU"/>
        </w:rPr>
        <w:t> Кыргызской Республики, настоящим Законом, а также другими нормативными правовыми актами, издаваемыми в соответствии с ними.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Если международным договором Кыргызской Республики, ратифицированным в установленном законом порядке, определены иные правила, чем те, которые предусмотрены настоящим Законом, применяются правила международного договора.</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6"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3" w:name="st_2"/>
      <w:bookmarkEnd w:id="3"/>
      <w:r w:rsidRPr="0044111E">
        <w:rPr>
          <w:rFonts w:ascii="Arial" w:eastAsia="Times New Roman" w:hAnsi="Arial" w:cs="Arial"/>
          <w:b/>
          <w:bCs/>
          <w:color w:val="000000"/>
          <w:sz w:val="20"/>
          <w:szCs w:val="20"/>
          <w:lang w:eastAsia="ru-RU"/>
        </w:rPr>
        <w:t>Статья 2. Основные понятия, используемые в настоящем Законе</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В настоящем Законе использованы следующие основные понятия: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bookmarkStart w:id="4" w:name="t1"/>
      <w:bookmarkEnd w:id="4"/>
      <w:r w:rsidRPr="0044111E">
        <w:rPr>
          <w:rFonts w:ascii="Arial" w:eastAsia="Times New Roman" w:hAnsi="Arial" w:cs="Arial"/>
          <w:color w:val="000000"/>
          <w:sz w:val="20"/>
          <w:szCs w:val="20"/>
          <w:lang w:eastAsia="ru-RU"/>
        </w:rPr>
        <w:t> </w:t>
      </w:r>
      <w:r w:rsidRPr="0044111E">
        <w:rPr>
          <w:rFonts w:ascii="Arial" w:eastAsia="Times New Roman" w:hAnsi="Arial" w:cs="Arial"/>
          <w:b/>
          <w:bCs/>
          <w:color w:val="000000"/>
          <w:sz w:val="20"/>
          <w:szCs w:val="20"/>
          <w:lang w:eastAsia="ru-RU"/>
        </w:rPr>
        <w:t>лизинг</w:t>
      </w:r>
      <w:r w:rsidRPr="0044111E">
        <w:rPr>
          <w:rFonts w:ascii="Arial" w:eastAsia="Times New Roman" w:hAnsi="Arial" w:cs="Arial"/>
          <w:color w:val="000000"/>
          <w:sz w:val="20"/>
          <w:szCs w:val="20"/>
          <w:lang w:eastAsia="ru-RU"/>
        </w:rPr>
        <w:t>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bookmarkStart w:id="5" w:name="t2"/>
      <w:bookmarkEnd w:id="5"/>
      <w:r w:rsidRPr="0044111E">
        <w:rPr>
          <w:rFonts w:ascii="Arial" w:eastAsia="Times New Roman" w:hAnsi="Arial" w:cs="Arial"/>
          <w:color w:val="000000"/>
          <w:sz w:val="20"/>
          <w:szCs w:val="20"/>
          <w:lang w:eastAsia="ru-RU"/>
        </w:rPr>
        <w:t> </w:t>
      </w:r>
      <w:r w:rsidRPr="0044111E">
        <w:rPr>
          <w:rFonts w:ascii="Arial" w:eastAsia="Times New Roman" w:hAnsi="Arial" w:cs="Arial"/>
          <w:b/>
          <w:bCs/>
          <w:color w:val="000000"/>
          <w:sz w:val="20"/>
          <w:szCs w:val="20"/>
          <w:lang w:eastAsia="ru-RU"/>
        </w:rPr>
        <w:t>договор лизинга</w:t>
      </w:r>
      <w:r w:rsidRPr="0044111E">
        <w:rPr>
          <w:rFonts w:ascii="Arial" w:eastAsia="Times New Roman" w:hAnsi="Arial" w:cs="Arial"/>
          <w:color w:val="000000"/>
          <w:sz w:val="20"/>
          <w:szCs w:val="20"/>
          <w:lang w:eastAsia="ru-RU"/>
        </w:rPr>
        <w:t>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лизингополучателем) имущество у определенного им (лизингополучателем) продавца и предоставить лизингополучателю это имущество за плату во временное владение и пользование.</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При этом договор лизинга должен содержать одно или более из следующих признаков:</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по окончании срока договора лизинга предмет лизинга переходит в собственность лизингополучателя;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договором лизинга предусмотрено право выкупа лизингополучателем предмета лизинга по окончании срока договора лизинга по цене, которая указана в договоре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срок договора лизинга составляет более трех четвертей срока экономической службы предмета лизинга (в данном случае право собственности лизингополучателю может не передаваться);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сумма лизинговых платежей, рассчитанная по рыночной ставке, должна быть не менее 90 процентов стоимости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предмет лизинга является основным средством и носит специальный характер, так что только лизингополучатель может пользоваться им без существенных модификаций.</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Договором лизинга может быть предусмотрено, что выбор продавца и приобретаемого имущества осуществляется лизингодателем.</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bookmarkStart w:id="6" w:name="t3"/>
      <w:bookmarkEnd w:id="6"/>
      <w:r w:rsidRPr="0044111E">
        <w:rPr>
          <w:rFonts w:ascii="Arial" w:eastAsia="Times New Roman" w:hAnsi="Arial" w:cs="Arial"/>
          <w:color w:val="000000"/>
          <w:sz w:val="20"/>
          <w:szCs w:val="20"/>
          <w:lang w:eastAsia="ru-RU"/>
        </w:rPr>
        <w:t> </w:t>
      </w:r>
      <w:r w:rsidRPr="0044111E">
        <w:rPr>
          <w:rFonts w:ascii="Arial" w:eastAsia="Times New Roman" w:hAnsi="Arial" w:cs="Arial"/>
          <w:b/>
          <w:bCs/>
          <w:color w:val="000000"/>
          <w:sz w:val="20"/>
          <w:szCs w:val="20"/>
          <w:lang w:eastAsia="ru-RU"/>
        </w:rPr>
        <w:t>лизинговая деятельность</w:t>
      </w:r>
      <w:r w:rsidRPr="0044111E">
        <w:rPr>
          <w:rFonts w:ascii="Arial" w:eastAsia="Times New Roman" w:hAnsi="Arial" w:cs="Arial"/>
          <w:color w:val="000000"/>
          <w:sz w:val="20"/>
          <w:szCs w:val="20"/>
          <w:lang w:eastAsia="ru-RU"/>
        </w:rPr>
        <w:t> - вид инвестиционной деятельности, направленный на инвестирование собственных и/или заемных средств лизингодателя по договору лизинга.</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7"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7" w:name="st_3"/>
      <w:bookmarkEnd w:id="7"/>
      <w:r w:rsidRPr="0044111E">
        <w:rPr>
          <w:rFonts w:ascii="Arial" w:eastAsia="Times New Roman" w:hAnsi="Arial" w:cs="Arial"/>
          <w:b/>
          <w:bCs/>
          <w:color w:val="000000"/>
          <w:sz w:val="20"/>
          <w:szCs w:val="20"/>
          <w:lang w:eastAsia="ru-RU"/>
        </w:rPr>
        <w:t>Статья 3. Предмет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lastRenderedPageBreak/>
        <w:t>1. Предметом </w:t>
      </w:r>
      <w:hyperlink r:id="rId8" w:anchor="t1" w:history="1">
        <w:r w:rsidRPr="0044111E">
          <w:rPr>
            <w:rFonts w:ascii="Arial" w:eastAsia="Times New Roman" w:hAnsi="Arial" w:cs="Arial"/>
            <w:color w:val="990066"/>
            <w:sz w:val="20"/>
            <w:szCs w:val="20"/>
            <w:u w:val="single"/>
            <w:lang w:eastAsia="ru-RU"/>
          </w:rPr>
          <w:t>лизинга</w:t>
        </w:r>
      </w:hyperlink>
      <w:r w:rsidRPr="0044111E">
        <w:rPr>
          <w:rFonts w:ascii="Arial" w:eastAsia="Times New Roman" w:hAnsi="Arial" w:cs="Arial"/>
          <w:color w:val="000000"/>
          <w:sz w:val="20"/>
          <w:szCs w:val="20"/>
          <w:lang w:eastAsia="ru-RU"/>
        </w:rPr>
        <w:t>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используемое для предпринимательской деятельности.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Предметом лизинга не могут выступать природные объекты, кроме земельных участков, а также имущество, запрещенное законодательством Кыргызской Республики для свободного обращения или для которого установлен особый порядок обращения.</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9"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8" w:name="st_4"/>
      <w:bookmarkEnd w:id="8"/>
      <w:r w:rsidRPr="0044111E">
        <w:rPr>
          <w:rFonts w:ascii="Arial" w:eastAsia="Times New Roman" w:hAnsi="Arial" w:cs="Arial"/>
          <w:b/>
          <w:bCs/>
          <w:color w:val="000000"/>
          <w:sz w:val="20"/>
          <w:szCs w:val="20"/>
          <w:lang w:eastAsia="ru-RU"/>
        </w:rPr>
        <w:t>Статья 4. Субъекты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Субъектами </w:t>
      </w:r>
      <w:hyperlink r:id="rId10" w:anchor="t1" w:history="1">
        <w:r w:rsidRPr="0044111E">
          <w:rPr>
            <w:rFonts w:ascii="Arial" w:eastAsia="Times New Roman" w:hAnsi="Arial" w:cs="Arial"/>
            <w:color w:val="990066"/>
            <w:sz w:val="20"/>
            <w:szCs w:val="20"/>
            <w:u w:val="single"/>
            <w:lang w:eastAsia="ru-RU"/>
          </w:rPr>
          <w:t>лизинга</w:t>
        </w:r>
      </w:hyperlink>
      <w:r w:rsidRPr="0044111E">
        <w:rPr>
          <w:rFonts w:ascii="Arial" w:eastAsia="Times New Roman" w:hAnsi="Arial" w:cs="Arial"/>
          <w:color w:val="000000"/>
          <w:sz w:val="20"/>
          <w:szCs w:val="20"/>
          <w:lang w:eastAsia="ru-RU"/>
        </w:rPr>
        <w:t> являются: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w:t>
      </w:r>
      <w:r w:rsidRPr="0044111E">
        <w:rPr>
          <w:rFonts w:ascii="Arial" w:eastAsia="Times New Roman" w:hAnsi="Arial" w:cs="Arial"/>
          <w:b/>
          <w:bCs/>
          <w:color w:val="000000"/>
          <w:sz w:val="20"/>
          <w:szCs w:val="20"/>
          <w:lang w:eastAsia="ru-RU"/>
        </w:rPr>
        <w:t>лизингодатель</w:t>
      </w:r>
      <w:r w:rsidRPr="0044111E">
        <w:rPr>
          <w:rFonts w:ascii="Arial" w:eastAsia="Times New Roman" w:hAnsi="Arial" w:cs="Arial"/>
          <w:color w:val="000000"/>
          <w:sz w:val="20"/>
          <w:szCs w:val="20"/>
          <w:lang w:eastAsia="ru-RU"/>
        </w:rPr>
        <w:t> - юридическое или физическое лицо, занимающееся индивидуальной предпринимательской деятельностью в установленном законодательством порядке, которое за счет собственных и/или заемных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w:t>
      </w:r>
      <w:r w:rsidRPr="0044111E">
        <w:rPr>
          <w:rFonts w:ascii="Arial" w:eastAsia="Times New Roman" w:hAnsi="Arial" w:cs="Arial"/>
          <w:b/>
          <w:bCs/>
          <w:color w:val="000000"/>
          <w:sz w:val="20"/>
          <w:szCs w:val="20"/>
          <w:lang w:eastAsia="ru-RU"/>
        </w:rPr>
        <w:t>лизингополучатель</w:t>
      </w:r>
      <w:r w:rsidRPr="0044111E">
        <w:rPr>
          <w:rFonts w:ascii="Arial" w:eastAsia="Times New Roman" w:hAnsi="Arial" w:cs="Arial"/>
          <w:color w:val="000000"/>
          <w:sz w:val="20"/>
          <w:szCs w:val="20"/>
          <w:lang w:eastAsia="ru-RU"/>
        </w:rPr>
        <w:t> - юридическое или физическое лицо, занимающееся индивидуальной предпринимательской деятельностью в установленном законодательством порядке,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w:t>
      </w:r>
      <w:r w:rsidRPr="0044111E">
        <w:rPr>
          <w:rFonts w:ascii="Arial" w:eastAsia="Times New Roman" w:hAnsi="Arial" w:cs="Arial"/>
          <w:b/>
          <w:bCs/>
          <w:color w:val="000000"/>
          <w:sz w:val="20"/>
          <w:szCs w:val="20"/>
          <w:lang w:eastAsia="ru-RU"/>
        </w:rPr>
        <w:t>продавец</w:t>
      </w:r>
      <w:r w:rsidRPr="0044111E">
        <w:rPr>
          <w:rFonts w:ascii="Arial" w:eastAsia="Times New Roman" w:hAnsi="Arial" w:cs="Arial"/>
          <w:color w:val="000000"/>
          <w:sz w:val="20"/>
          <w:szCs w:val="20"/>
          <w:lang w:eastAsia="ru-RU"/>
        </w:rPr>
        <w:t> - физическое или юридическое лицо, которое продает лизингодателю в обусловленный срок имущество, являющееся предметом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В отношении предмета </w:t>
      </w:r>
      <w:hyperlink r:id="rId11" w:anchor="t1" w:history="1">
        <w:r w:rsidRPr="0044111E">
          <w:rPr>
            <w:rFonts w:ascii="Arial" w:eastAsia="Times New Roman" w:hAnsi="Arial" w:cs="Arial"/>
            <w:color w:val="990066"/>
            <w:sz w:val="20"/>
            <w:szCs w:val="20"/>
            <w:u w:val="single"/>
            <w:lang w:eastAsia="ru-RU"/>
          </w:rPr>
          <w:t>лизинга</w:t>
        </w:r>
      </w:hyperlink>
      <w:r w:rsidRPr="0044111E">
        <w:rPr>
          <w:rFonts w:ascii="Arial" w:eastAsia="Times New Roman" w:hAnsi="Arial" w:cs="Arial"/>
          <w:color w:val="000000"/>
          <w:sz w:val="20"/>
          <w:szCs w:val="20"/>
          <w:lang w:eastAsia="ru-RU"/>
        </w:rPr>
        <w:t> не допускается совмещение обязательств лизингодателя и лизингополучателя.</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12"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9" w:name="st_5"/>
      <w:bookmarkEnd w:id="9"/>
      <w:r w:rsidRPr="0044111E">
        <w:rPr>
          <w:rFonts w:ascii="Arial" w:eastAsia="Times New Roman" w:hAnsi="Arial" w:cs="Arial"/>
          <w:b/>
          <w:bCs/>
          <w:color w:val="000000"/>
          <w:sz w:val="20"/>
          <w:szCs w:val="20"/>
          <w:lang w:eastAsia="ru-RU"/>
        </w:rPr>
        <w:t>Статья 5. Лизинговые компании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w:t>
      </w:r>
      <w:r w:rsidRPr="0044111E">
        <w:rPr>
          <w:rFonts w:ascii="Arial" w:eastAsia="Times New Roman" w:hAnsi="Arial" w:cs="Arial"/>
          <w:b/>
          <w:bCs/>
          <w:color w:val="000000"/>
          <w:sz w:val="20"/>
          <w:szCs w:val="20"/>
          <w:lang w:eastAsia="ru-RU"/>
        </w:rPr>
        <w:t>Лизинговая компания</w:t>
      </w:r>
      <w:r w:rsidRPr="0044111E">
        <w:rPr>
          <w:rFonts w:ascii="Arial" w:eastAsia="Times New Roman" w:hAnsi="Arial" w:cs="Arial"/>
          <w:color w:val="000000"/>
          <w:sz w:val="20"/>
          <w:szCs w:val="20"/>
          <w:lang w:eastAsia="ru-RU"/>
        </w:rPr>
        <w:t> - коммерческая организация (резидент и нерезидент Кыргызской Республики), выполняющая в соответствии с законодательством Кыргызской Республики и со своими учредительными документами функции лизингодателя.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Учредителями лизинговых компаний могут быть юридические, физические лица (резиденты и нерезиденты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Лизинговая компания-нерезидент Кыргызской Республики - иностранное юридическое лицо, осуществляющее </w:t>
      </w:r>
      <w:hyperlink r:id="rId13" w:anchor="t3" w:history="1">
        <w:r w:rsidRPr="0044111E">
          <w:rPr>
            <w:rFonts w:ascii="Arial" w:eastAsia="Times New Roman" w:hAnsi="Arial" w:cs="Arial"/>
            <w:color w:val="990066"/>
            <w:sz w:val="20"/>
            <w:szCs w:val="20"/>
            <w:u w:val="single"/>
            <w:lang w:eastAsia="ru-RU"/>
          </w:rPr>
          <w:t>лизинговую деятельность</w:t>
        </w:r>
      </w:hyperlink>
      <w:r w:rsidRPr="0044111E">
        <w:rPr>
          <w:rFonts w:ascii="Arial" w:eastAsia="Times New Roman" w:hAnsi="Arial" w:cs="Arial"/>
          <w:color w:val="000000"/>
          <w:sz w:val="20"/>
          <w:szCs w:val="20"/>
          <w:lang w:eastAsia="ru-RU"/>
        </w:rPr>
        <w:t> на территории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4. Лизинговая компания вправе привлекать средства юридических и/или физических лиц (резидентов и нерезидентов Кыргызской Республики) для осуществления лизинговой деятельности в установленном законодательством Кыргызской Республики порядке.</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0" w:name="st_6"/>
      <w:bookmarkEnd w:id="10"/>
      <w:r w:rsidRPr="0044111E">
        <w:rPr>
          <w:rFonts w:ascii="Arial" w:eastAsia="Times New Roman" w:hAnsi="Arial" w:cs="Arial"/>
          <w:b/>
          <w:bCs/>
          <w:color w:val="000000"/>
          <w:sz w:val="20"/>
          <w:szCs w:val="20"/>
          <w:lang w:eastAsia="ru-RU"/>
        </w:rPr>
        <w:t>Статья 6. Классификационные признаки лизинга</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(Утратила силу в соответствии с </w:t>
      </w:r>
      <w:hyperlink r:id="rId14" w:history="1">
        <w:r w:rsidRPr="0044111E">
          <w:rPr>
            <w:rFonts w:ascii="Arial" w:eastAsia="Times New Roman" w:hAnsi="Arial" w:cs="Arial"/>
            <w:i/>
            <w:iCs/>
            <w:color w:val="990066"/>
            <w:sz w:val="20"/>
            <w:szCs w:val="20"/>
            <w:u w:val="single"/>
            <w:lang w:eastAsia="ru-RU"/>
          </w:rPr>
          <w:t>Законом</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1" w:name="st_7"/>
      <w:bookmarkEnd w:id="11"/>
      <w:r w:rsidRPr="0044111E">
        <w:rPr>
          <w:rFonts w:ascii="Arial" w:eastAsia="Times New Roman" w:hAnsi="Arial" w:cs="Arial"/>
          <w:b/>
          <w:bCs/>
          <w:color w:val="000000"/>
          <w:sz w:val="20"/>
          <w:szCs w:val="20"/>
          <w:lang w:eastAsia="ru-RU"/>
        </w:rPr>
        <w:t>Статья 7. Формы и виды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b/>
          <w:bCs/>
          <w:color w:val="000000"/>
          <w:sz w:val="20"/>
          <w:szCs w:val="20"/>
          <w:lang w:eastAsia="ru-RU"/>
        </w:rPr>
        <w:t>Внутренний лизинг</w:t>
      </w:r>
      <w:r w:rsidRPr="0044111E">
        <w:rPr>
          <w:rFonts w:ascii="Arial" w:eastAsia="Times New Roman" w:hAnsi="Arial" w:cs="Arial"/>
          <w:color w:val="000000"/>
          <w:sz w:val="20"/>
          <w:szCs w:val="20"/>
          <w:lang w:eastAsia="ru-RU"/>
        </w:rPr>
        <w:t> - форма лизинга, при которой лизингодатель и лизингополучатель являются резидентами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b/>
          <w:bCs/>
          <w:color w:val="000000"/>
          <w:sz w:val="20"/>
          <w:szCs w:val="20"/>
          <w:lang w:eastAsia="ru-RU"/>
        </w:rPr>
        <w:t>Международный лизинг</w:t>
      </w:r>
      <w:r w:rsidRPr="0044111E">
        <w:rPr>
          <w:rFonts w:ascii="Arial" w:eastAsia="Times New Roman" w:hAnsi="Arial" w:cs="Arial"/>
          <w:color w:val="000000"/>
          <w:sz w:val="20"/>
          <w:szCs w:val="20"/>
          <w:lang w:eastAsia="ru-RU"/>
        </w:rPr>
        <w:t> - форма лизинга, при которой лизингодатель или лизингополучатель является нерезидентом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b/>
          <w:bCs/>
          <w:color w:val="000000"/>
          <w:sz w:val="20"/>
          <w:szCs w:val="20"/>
          <w:lang w:eastAsia="ru-RU"/>
        </w:rPr>
        <w:t>Возвратный лизинг</w:t>
      </w:r>
      <w:r w:rsidRPr="0044111E">
        <w:rPr>
          <w:rFonts w:ascii="Arial" w:eastAsia="Times New Roman" w:hAnsi="Arial" w:cs="Arial"/>
          <w:color w:val="000000"/>
          <w:sz w:val="20"/>
          <w:szCs w:val="20"/>
          <w:lang w:eastAsia="ru-RU"/>
        </w:rPr>
        <w:t> - вид лизинга, при котором продавец может одновременно выступать в качестве лизингополучателя в пределах одного лизингового правоотношения.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b/>
          <w:bCs/>
          <w:color w:val="000000"/>
          <w:sz w:val="20"/>
          <w:szCs w:val="20"/>
          <w:lang w:eastAsia="ru-RU"/>
        </w:rPr>
        <w:t>Сублизинг</w:t>
      </w:r>
      <w:r w:rsidRPr="0044111E">
        <w:rPr>
          <w:rFonts w:ascii="Arial" w:eastAsia="Times New Roman" w:hAnsi="Arial" w:cs="Arial"/>
          <w:color w:val="000000"/>
          <w:sz w:val="20"/>
          <w:szCs w:val="20"/>
          <w:lang w:eastAsia="ru-RU"/>
        </w:rPr>
        <w:t> - вид лизинга, при котором лизингополучатель (сублизингодатель), в соответствии с настоящим Законом и договором лизинга, передает третьему лицу (сублизингополучателю) во временное владение и пользование для предпринимательских целей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 При этом сублизингодатель и сублизингополучатель выступают в качестве лизингодателя и лизингополучателя, имеют права и несут обязанности, определяемые настоящим Законом для данных участников лизинговой сделки. Срок договора сублизинга не должен превышать срока действия договора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b/>
          <w:bCs/>
          <w:color w:val="000000"/>
          <w:sz w:val="20"/>
          <w:szCs w:val="20"/>
          <w:lang w:eastAsia="ru-RU"/>
        </w:rPr>
        <w:lastRenderedPageBreak/>
        <w:t>Вторичный лизинг</w:t>
      </w:r>
      <w:r w:rsidRPr="0044111E">
        <w:rPr>
          <w:rFonts w:ascii="Arial" w:eastAsia="Times New Roman" w:hAnsi="Arial" w:cs="Arial"/>
          <w:color w:val="000000"/>
          <w:sz w:val="20"/>
          <w:szCs w:val="20"/>
          <w:lang w:eastAsia="ru-RU"/>
        </w:rPr>
        <w:t> - вид лизинга, при котором предмет лизинга, оставшийся в собственности лизингодателя, в случае прекращения или расторжения договора лизинга передается в лизинг другому лизингополучателю в соответствии с настоящим Законом. При последующей передаче в лизинг такого предмета лизинга считается, что выбор продавца и предмета лизинга осуществлен лизингодателем.</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15"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200" w:line="276" w:lineRule="atLeast"/>
        <w:ind w:left="1134" w:right="1134" w:firstLine="0"/>
        <w:jc w:val="center"/>
        <w:rPr>
          <w:rFonts w:ascii="Arial" w:eastAsia="Times New Roman" w:hAnsi="Arial" w:cs="Arial"/>
          <w:b/>
          <w:bCs/>
          <w:color w:val="000000"/>
          <w:sz w:val="27"/>
          <w:szCs w:val="27"/>
          <w:lang w:eastAsia="ru-RU"/>
        </w:rPr>
      </w:pPr>
      <w:bookmarkStart w:id="12" w:name="r2"/>
      <w:bookmarkEnd w:id="12"/>
      <w:r w:rsidRPr="0044111E">
        <w:rPr>
          <w:rFonts w:ascii="Arial" w:eastAsia="Times New Roman" w:hAnsi="Arial" w:cs="Arial"/>
          <w:b/>
          <w:bCs/>
          <w:color w:val="000000"/>
          <w:sz w:val="27"/>
          <w:szCs w:val="27"/>
          <w:lang w:eastAsia="ru-RU"/>
        </w:rPr>
        <w:t>Раздел 2</w:t>
      </w:r>
      <w:r w:rsidRPr="0044111E">
        <w:rPr>
          <w:rFonts w:ascii="Arial" w:eastAsia="Times New Roman" w:hAnsi="Arial" w:cs="Arial"/>
          <w:b/>
          <w:bCs/>
          <w:color w:val="000000"/>
          <w:sz w:val="27"/>
          <w:szCs w:val="27"/>
          <w:lang w:eastAsia="ru-RU"/>
        </w:rPr>
        <w:br/>
        <w:t>Правовые основы лизинговой деятельности</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3" w:name="st_8"/>
      <w:bookmarkEnd w:id="13"/>
      <w:r w:rsidRPr="0044111E">
        <w:rPr>
          <w:rFonts w:ascii="Arial" w:eastAsia="Times New Roman" w:hAnsi="Arial" w:cs="Arial"/>
          <w:b/>
          <w:bCs/>
          <w:color w:val="000000"/>
          <w:sz w:val="20"/>
          <w:szCs w:val="20"/>
          <w:lang w:eastAsia="ru-RU"/>
        </w:rPr>
        <w:t>Статья 8. Содержание договора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w:t>
      </w:r>
      <w:hyperlink r:id="rId16" w:anchor="t2" w:history="1">
        <w:r w:rsidRPr="0044111E">
          <w:rPr>
            <w:rFonts w:ascii="Arial" w:eastAsia="Times New Roman" w:hAnsi="Arial" w:cs="Arial"/>
            <w:color w:val="990066"/>
            <w:sz w:val="20"/>
            <w:szCs w:val="20"/>
            <w:u w:val="single"/>
            <w:lang w:eastAsia="ru-RU"/>
          </w:rPr>
          <w:t>Договор лизинга</w:t>
        </w:r>
      </w:hyperlink>
      <w:r w:rsidRPr="0044111E">
        <w:rPr>
          <w:rFonts w:ascii="Arial" w:eastAsia="Times New Roman" w:hAnsi="Arial" w:cs="Arial"/>
          <w:color w:val="000000"/>
          <w:sz w:val="20"/>
          <w:szCs w:val="20"/>
          <w:lang w:eastAsia="ru-RU"/>
        </w:rPr>
        <w:t> заключается в письменной форме. Договор лизинга подлежит нотариальному удостоверению и государственной регистрации в случаях, предусмотренных законодательством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Существенными условиями договора лизинга являются: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наименование, а также достаточное для идентификации описание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права и обязанности сторон, связанные с приобретением и передачей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порядок, условия и сроки внесения лизинговых платежей;</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указание стороны, которая осуществляет выбор предмета лизинга 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продавца.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Стороны могут предусмотреть в договоре лизинга и иные условия, соответствующие законодательству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17"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4" w:name="st_9"/>
      <w:bookmarkEnd w:id="14"/>
      <w:r w:rsidRPr="0044111E">
        <w:rPr>
          <w:rFonts w:ascii="Arial" w:eastAsia="Times New Roman" w:hAnsi="Arial" w:cs="Arial"/>
          <w:b/>
          <w:bCs/>
          <w:color w:val="000000"/>
          <w:sz w:val="20"/>
          <w:szCs w:val="20"/>
          <w:lang w:eastAsia="ru-RU"/>
        </w:rPr>
        <w:t>Статья 9. Изменение и расторжение договора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Изменение и расторжение договора лизинга осуществляется в порядке и случаях, определенных договором лизинга или законодательством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18"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5" w:name="st_10"/>
      <w:bookmarkEnd w:id="15"/>
      <w:r w:rsidRPr="0044111E">
        <w:rPr>
          <w:rFonts w:ascii="Arial" w:eastAsia="Times New Roman" w:hAnsi="Arial" w:cs="Arial"/>
          <w:b/>
          <w:bCs/>
          <w:color w:val="000000"/>
          <w:sz w:val="20"/>
          <w:szCs w:val="20"/>
          <w:lang w:eastAsia="ru-RU"/>
        </w:rPr>
        <w:t>Статья 10. Права и обязанности лизингодателя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Лизингодатель вправе:</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а) требовать причитающиеся ему просроченные лизинговые платежи, а также возмещения убытков;</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б) осуществлять контроль за деятельностью лизингополучателя в той ее части, которая относится к предмету лизинга, и выполнением лизингополучателем обязательств по договору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в) требовать в случае нарушения лизингополучателем обязательств по возврату предмета лизинга внесения платежей за время просрочки и возмещения убытков;</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г) истребовать у лизингополучателя в письменной форме информацию, необходимую для осуществления контроля за финансовым состоянием лизингополучателя;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д) ставить маркировку на предмет лизинга, свидетельствующую о том, что данный предмет является собственностью лизингодателя и находится во владении и пользовании лизингополучателя согласно договору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е) истребовать предмет лизинга у лизингополучателя в случаях, предусмотренных настоящим Законом.</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Лизингодатель обязан:</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а) приобрести в собственность у продавца согласованный с лизингополучателем предмет лизинга и передать его лизингополучателю во временное владение и пользование на условиях, оговоренных </w:t>
      </w:r>
      <w:hyperlink r:id="rId19" w:anchor="t2" w:history="1">
        <w:r w:rsidRPr="0044111E">
          <w:rPr>
            <w:rFonts w:ascii="Arial" w:eastAsia="Times New Roman" w:hAnsi="Arial" w:cs="Arial"/>
            <w:color w:val="990066"/>
            <w:sz w:val="20"/>
            <w:szCs w:val="20"/>
            <w:u w:val="single"/>
            <w:lang w:eastAsia="ru-RU"/>
          </w:rPr>
          <w:t>договором лизинга</w:t>
        </w:r>
      </w:hyperlink>
      <w:r w:rsidRPr="0044111E">
        <w:rPr>
          <w:rFonts w:ascii="Arial" w:eastAsia="Times New Roman" w:hAnsi="Arial" w:cs="Arial"/>
          <w:color w:val="000000"/>
          <w:sz w:val="20"/>
          <w:szCs w:val="20"/>
          <w:lang w:eastAsia="ru-RU"/>
        </w:rPr>
        <w:t>;</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б) приобретая предмет лизинга, письменно уведомить продавца о том, что он предназначен для передачи в лизинг определенному лицу (лизингополучателю);</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в) при вторичном лизинге уведомить продавца об изменении лизингополучателя в течение 30 дней с момента подписания соответствующего договора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Лизингодатель может иметь иные права и обязанности, установленные законодательством Кыргызской Республики и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20"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6" w:name="st_11"/>
      <w:bookmarkEnd w:id="16"/>
      <w:r w:rsidRPr="0044111E">
        <w:rPr>
          <w:rFonts w:ascii="Arial" w:eastAsia="Times New Roman" w:hAnsi="Arial" w:cs="Arial"/>
          <w:b/>
          <w:bCs/>
          <w:color w:val="000000"/>
          <w:sz w:val="20"/>
          <w:szCs w:val="20"/>
          <w:lang w:eastAsia="ru-RU"/>
        </w:rPr>
        <w:lastRenderedPageBreak/>
        <w:t>Статья 11. Права и обязанности лизингополучателя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Лизингополучатель вправе:</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а) владеть и пользоваться предметом лизинга на условиях договора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б) предъявлять непосредственно продавцу (поставщику) предмета лизинга требования к качеству и комплектности, срокам поставок и другие требования, установленные договором купли-продажи между продавцом (поставщиком) и лизингодателем;</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в) отказаться от предмета лизинга либо потребовать замены предмета лизинга, либо расторгнуть договор лизинга в случаях, когда предмет лизинга не поставлен, поставлен с существенной просрочкой или поставлен с неустранимыми недостатками, препятствующими использованию предмета лизинга по назначению, на условиях, предусмотренных договором лизинга, за исключением случаев, когда выбор поставщика был осуществлен лизингополучателем,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г) после прекращения договора лизинга требовать возмещения стоимости улучшений предмета лизинга, не отделимых без вреда для предмета лизинга, произведенных лизингополучателем за счет собственных средств, с согласия лизингодателя,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д) требовать соответствующего уменьшения суммы лизинговых платежей, если в силу обстоятельств, за которые он не отвечает, условия пользования, предусмотренные договором лизинга, существенно ухудшились,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е) сдать предмет лизинга, полученный по договору лизинга, в сублизинг третьему лицу с письменного согласия лизингодателя, оставаясь ответственным перед ним по договору лизинга; при этом срок сдачи предмета лизинга в сублизинг не должен превышать срока действия договора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Лизингополучатель обязан:</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а) принять предмет лизинга, если он отвечает условиям договора о лизинге, и пользоваться предметом лизинга в соответствии с его назначением согласно договору о лизинге;</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б) за свой счет осуществлять техническое обслуживание предмета лизинга, его капитальный и текущий ремонт (в том числе оплату необходимых коммунальных платежей, связанных с предметом лизинга), если иное не предусмотрено договором о лизинге;</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в) предоставить лизингодателю информацию, необходимую для осуществления контроля за его финансовым состоянием;</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г) обеспечить лизингодателю беспрепятственный доступ к предмету лизинга, а также предоставить информацию о техническом состоянии предмета лизинга по письменному запросу лизингодателя на дату запроса, если иное не предусмотрено договором и законодательством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д) при прекращении договора лизинга вернуть лизингодателю предмет лизинга в состоянии, в котором он его получил, с учетом нормального износа или в состоянии, обусловленном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Лизингополучатель может иметь иные права и обязанности, установленные законодательством Кыргызской Республики и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21"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7" w:name="st_12"/>
      <w:bookmarkEnd w:id="17"/>
      <w:r w:rsidRPr="0044111E">
        <w:rPr>
          <w:rFonts w:ascii="Arial" w:eastAsia="Times New Roman" w:hAnsi="Arial" w:cs="Arial"/>
          <w:b/>
          <w:bCs/>
          <w:color w:val="000000"/>
          <w:sz w:val="20"/>
          <w:szCs w:val="20"/>
          <w:lang w:eastAsia="ru-RU"/>
        </w:rPr>
        <w:t>Статья 12. Права и обязанности продавца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Продавец имеет права и несет обязанности в соответствии с законодательством Кыргызской Республики и договором купли-продажи или поставки.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Лизингополучатель вправе предъявлять непосредственно продавцу имущества, являющегося предметом договора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для покупателя, кроме обязанностей оплатить приобретенное имущество и расторгнуть договор купли-продажи с продавцом без согласия лизингодателя.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Продавец не должен нести ответственность одновременно перед лизингодателем и лизингополучателем в отношении одного и того же ущерба.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В случае если договор лизинга заключен с участием лизингодателя, лизингополучателя и продавца, то права и обязанности продавца устанавливаются в соответствии с договором лизинга.</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8" w:name="st_13"/>
      <w:bookmarkEnd w:id="18"/>
      <w:r w:rsidRPr="0044111E">
        <w:rPr>
          <w:rFonts w:ascii="Arial" w:eastAsia="Times New Roman" w:hAnsi="Arial" w:cs="Arial"/>
          <w:b/>
          <w:bCs/>
          <w:color w:val="000000"/>
          <w:sz w:val="20"/>
          <w:szCs w:val="20"/>
          <w:lang w:eastAsia="ru-RU"/>
        </w:rPr>
        <w:t>Статья 13. Ответственность субъектов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lastRenderedPageBreak/>
        <w:t>1. Ответственность лизингодателя, лизингополучателя и продавца устанавливается договором лизинга, договором купли-продажи и нормативными правовыми актами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Ответственность за сохранность предмета лизинга от всех видов имущественного ущерба, а также за риски, связанные с его гибелью, утратой, порчей, хищением, поломкой, ошибкой, допущенной при его монтаже или эксплуатации, с момента фактической приемки предмета лизинга несет лизингополучатель,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Риск невыполнения или ненадлежащего выполнения обязательств продавцом несет сторона договора лизинга, которая выбрала продавца,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4. Ответственность перед третьими лицами за убытки, причиненные им предметом лизинга или в связи с ним, не может быть возложена на лизингодателя.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5. В отношениях с продавцом лизингополучатель и лизингодатель выступают как солидарные кредиторы.</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6. В случае если за несвоевременный возврат лизингополучателем предмета лизинга лизингодателю предусмотрена выплата неустойки лизингополучателем, убытки могут быть взысканы с лизингополучателя в полной сумме сверх неустойки,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22"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19" w:name="st_14"/>
      <w:bookmarkEnd w:id="19"/>
      <w:r w:rsidRPr="0044111E">
        <w:rPr>
          <w:rFonts w:ascii="Arial" w:eastAsia="Times New Roman" w:hAnsi="Arial" w:cs="Arial"/>
          <w:b/>
          <w:bCs/>
          <w:color w:val="000000"/>
          <w:sz w:val="20"/>
          <w:szCs w:val="20"/>
          <w:lang w:eastAsia="ru-RU"/>
        </w:rPr>
        <w:t>Статья 14. Передача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Лизингодатель предоставляет лизингополучателю имущество, являющееся предметом лизинга, в состоянии, соответствующем условиям договора лизинга и назначению данного имущества, вместе со всеми его принадлежностями и со всеми документами (техническим паспортом и другими), если иное не предусмотрено договором лизинга.</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0" w:name="st_15"/>
      <w:bookmarkEnd w:id="20"/>
      <w:r w:rsidRPr="0044111E">
        <w:rPr>
          <w:rFonts w:ascii="Arial" w:eastAsia="Times New Roman" w:hAnsi="Arial" w:cs="Arial"/>
          <w:b/>
          <w:bCs/>
          <w:color w:val="000000"/>
          <w:sz w:val="20"/>
          <w:szCs w:val="20"/>
          <w:lang w:eastAsia="ru-RU"/>
        </w:rPr>
        <w:t>Статья 15. Отношения собственности при лизинге</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В </w:t>
      </w:r>
      <w:hyperlink r:id="rId23" w:anchor="t2" w:history="1">
        <w:r w:rsidRPr="0044111E">
          <w:rPr>
            <w:rFonts w:ascii="Arial" w:eastAsia="Times New Roman" w:hAnsi="Arial" w:cs="Arial"/>
            <w:color w:val="990066"/>
            <w:sz w:val="20"/>
            <w:szCs w:val="20"/>
            <w:u w:val="single"/>
            <w:lang w:eastAsia="ru-RU"/>
          </w:rPr>
          <w:t>договоре лизинга</w:t>
        </w:r>
      </w:hyperlink>
      <w:r w:rsidRPr="0044111E">
        <w:rPr>
          <w:rFonts w:ascii="Arial" w:eastAsia="Times New Roman" w:hAnsi="Arial" w:cs="Arial"/>
          <w:color w:val="000000"/>
          <w:sz w:val="20"/>
          <w:szCs w:val="20"/>
          <w:lang w:eastAsia="ru-RU"/>
        </w:rPr>
        <w:t> может быть предусмотрено, что предмет лизинга переходит в собственность лизингополучателя по истечении срока договора лизинга или до его истечения при условии внесения лизингополучателем всей обусловленной договором выкупной цены.</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Если условие о выкупе предмета лизинга не предусмотрено в договоре, оно может быть установлено дополнительным соглашением сторон, которые вправе при этом договориться о зачете ранее выплаченной платы за пользованием предметом лизинга в выкупную цену. Законом могут быть установлены случаи запрещения выкупа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Право владения и пользования предметом лизинга переходит к лизингополучателю в полном объеме, если договором лизинга не установлено иное.</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При банкротстве лизингополучателя, а также аресте, конфискации или обращении взыскания на его имущество предмет лизинга отделяется от имущества лизингополучателя и подлежит возврату лизингодателю, который может распоряжаться им по своему усмотрению.</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4. В случае если лизингополучатель без письменного согласия лизингодателя произвел за счет собственных средств улучшения предмета лизинга, не отделимые без вреда для предмета лизинга, лизингополучатель не имеет права после прекращения договора лизинга на возмещение стоимости этих улучшений,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5. Произведенные лизингополучателем отделимые улучшения предмета лизинга являются его собственностью, если иное не предусмотрено договором лизинга.</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1" w:name="st_16"/>
      <w:bookmarkEnd w:id="21"/>
      <w:r w:rsidRPr="0044111E">
        <w:rPr>
          <w:rFonts w:ascii="Arial" w:eastAsia="Times New Roman" w:hAnsi="Arial" w:cs="Arial"/>
          <w:b/>
          <w:bCs/>
          <w:color w:val="000000"/>
          <w:sz w:val="20"/>
          <w:szCs w:val="20"/>
          <w:lang w:eastAsia="ru-RU"/>
        </w:rPr>
        <w:t>Статья 16. Уступка лизингодателем и лизингополучателем своих прав третьим лицам</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Лизингодатель может уступить третьим лицам полностью или частично свои права и обязанности по договору лизинга с письменным уведомлением об этом лизингополучателя.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Лизингополучатель может уступить третьим лицам полностью или частично свои права и обязанности по договору лизинга с письменного разрешения лизингодателя.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При переходе права собственности на предмет лизинга от лизингодателя к третьему лицу договор лизинга остается в силе для нового собственника.</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2" w:name="st_17"/>
      <w:bookmarkEnd w:id="22"/>
      <w:r w:rsidRPr="0044111E">
        <w:rPr>
          <w:rFonts w:ascii="Arial" w:eastAsia="Times New Roman" w:hAnsi="Arial" w:cs="Arial"/>
          <w:b/>
          <w:bCs/>
          <w:color w:val="000000"/>
          <w:sz w:val="20"/>
          <w:szCs w:val="20"/>
          <w:lang w:eastAsia="ru-RU"/>
        </w:rPr>
        <w:t>Статья 17. Обслуживание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Гарантийное и постгарантийное обслуживание предмета лизинга может осуществляться продавцом, если это предусмотрено договором купли-продажи между лизингодателем и продавцом (поставщиком) предмета лизинга.</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3" w:name="st_18"/>
      <w:bookmarkEnd w:id="23"/>
      <w:r w:rsidRPr="0044111E">
        <w:rPr>
          <w:rFonts w:ascii="Arial" w:eastAsia="Times New Roman" w:hAnsi="Arial" w:cs="Arial"/>
          <w:b/>
          <w:bCs/>
          <w:color w:val="000000"/>
          <w:sz w:val="20"/>
          <w:szCs w:val="20"/>
          <w:lang w:eastAsia="ru-RU"/>
        </w:rPr>
        <w:lastRenderedPageBreak/>
        <w:t>Статья 18. Государственная регистрация прав на предмет договора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Права на предмет </w:t>
      </w:r>
      <w:hyperlink r:id="rId24" w:anchor="t2" w:history="1">
        <w:r w:rsidRPr="0044111E">
          <w:rPr>
            <w:rFonts w:ascii="Arial" w:eastAsia="Times New Roman" w:hAnsi="Arial" w:cs="Arial"/>
            <w:color w:val="990066"/>
            <w:sz w:val="20"/>
            <w:szCs w:val="20"/>
            <w:u w:val="single"/>
            <w:lang w:eastAsia="ru-RU"/>
          </w:rPr>
          <w:t>договора лизинга</w:t>
        </w:r>
      </w:hyperlink>
      <w:r w:rsidRPr="0044111E">
        <w:rPr>
          <w:rFonts w:ascii="Arial" w:eastAsia="Times New Roman" w:hAnsi="Arial" w:cs="Arial"/>
          <w:color w:val="000000"/>
          <w:sz w:val="20"/>
          <w:szCs w:val="20"/>
          <w:lang w:eastAsia="ru-RU"/>
        </w:rPr>
        <w:t>, подлежащие государственной регистрации, регистрируются на имя лизингодателя, а лизингополучатель может быть зарегистрирован как пользователь предмета договора. Порядок и условия по осуществлению регистрации прав на предмет договора лизинга оговариваются сторонами в договоре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По соглашению сторон регистрация прав на предмет договора лизинга на имя лизингодателя может быть возложена лизингодателем на лизингополучателя. При этом в регистрационных документах обязательно указываются сведения о собственнике и владельце (пользователе) имущества.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3. В случае расторжения договора лизинга и изъятия лизингодателем предмета лизинга государственный орган, осуществивший регистрацию прав на предмет договора лизинга на лизингополучателя, по заявлению лизингодателя вносит соответствующее изменение в запись о владельце (пользователе).</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4" w:name="st_19"/>
      <w:bookmarkEnd w:id="24"/>
      <w:r w:rsidRPr="0044111E">
        <w:rPr>
          <w:rFonts w:ascii="Arial" w:eastAsia="Times New Roman" w:hAnsi="Arial" w:cs="Arial"/>
          <w:b/>
          <w:bCs/>
          <w:color w:val="000000"/>
          <w:sz w:val="20"/>
          <w:szCs w:val="20"/>
          <w:lang w:eastAsia="ru-RU"/>
        </w:rPr>
        <w:t>Статья 19. Страхование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Стороны вправе осуществить любые виды страхования предмета лизинга, а также любых иных рисков, связанных с договором лизинга, в порядке, предусмотренном законодательством Кыргызской Республики.</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25"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5" w:name="st_20"/>
      <w:bookmarkEnd w:id="25"/>
      <w:r w:rsidRPr="0044111E">
        <w:rPr>
          <w:rFonts w:ascii="Arial" w:eastAsia="Times New Roman" w:hAnsi="Arial" w:cs="Arial"/>
          <w:b/>
          <w:bCs/>
          <w:color w:val="000000"/>
          <w:sz w:val="20"/>
          <w:szCs w:val="20"/>
          <w:lang w:eastAsia="ru-RU"/>
        </w:rPr>
        <w:t>Статья 20. Распоряжение предметом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Лизингодатель вправе по своему усмотрению распоряжаться предметом лизинга с письменным уведомлением лизингополучателя,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Лизингополучатель вправе, с согласия лизингодателя, сдавать предмет лизинга в сублизинг, передавать свои права и обязанности по договору лизинга другому лицу, а также передавать свои права лизингополучателя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26"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6" w:name="st_21"/>
      <w:bookmarkEnd w:id="26"/>
      <w:r w:rsidRPr="0044111E">
        <w:rPr>
          <w:rFonts w:ascii="Arial" w:eastAsia="Times New Roman" w:hAnsi="Arial" w:cs="Arial"/>
          <w:b/>
          <w:bCs/>
          <w:color w:val="000000"/>
          <w:sz w:val="20"/>
          <w:szCs w:val="20"/>
          <w:lang w:eastAsia="ru-RU"/>
        </w:rPr>
        <w:t>Статья 21. Лизинговые платежи</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Плата за пользование предметом лизинга, предоставленным по договору лизинга, осуществляется лизингополучателем в виде лизинговых платежей, уплачиваемых лизингодателю.</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Лизинговые платежи представляют собой возмещение лизингополучателем лизингодателю всех или большей части затрат на приобретение предмета лизинга, а также других затрат, связанных с поставкой предмета лизинга и приведением его в состояние, пригодное для использования по назначению, и процентный доход лизингодателя.</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Размеры, способ, форма и периодичность лизинговых платежей устанавливаются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Если лизингополучатель и лизингодатель осуществляют расчеты по лизинговым платежам продукцией (в натуральной форме), производимой с помощью предмета лизинга, цена на такую продукцию определяется по соглашению сторон договора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w:t>
      </w:r>
    </w:p>
    <w:p w:rsidR="0044111E" w:rsidRPr="0044111E" w:rsidRDefault="0044111E" w:rsidP="0044111E">
      <w:pPr>
        <w:shd w:val="clear" w:color="auto" w:fill="FFFFFF"/>
        <w:spacing w:after="60" w:line="230" w:lineRule="atLeast"/>
        <w:ind w:firstLine="567"/>
        <w:rPr>
          <w:rFonts w:ascii="Arial" w:eastAsia="Times New Roman" w:hAnsi="Arial" w:cs="Arial"/>
          <w:i/>
          <w:iCs/>
          <w:color w:val="000000"/>
          <w:sz w:val="20"/>
          <w:szCs w:val="20"/>
          <w:lang w:eastAsia="ru-RU"/>
        </w:rPr>
      </w:pPr>
      <w:r w:rsidRPr="0044111E">
        <w:rPr>
          <w:rFonts w:ascii="Arial" w:eastAsia="Times New Roman" w:hAnsi="Arial" w:cs="Arial"/>
          <w:i/>
          <w:iCs/>
          <w:color w:val="000000"/>
          <w:sz w:val="20"/>
          <w:szCs w:val="20"/>
          <w:lang w:eastAsia="ru-RU"/>
        </w:rPr>
        <w:t>(</w:t>
      </w:r>
      <w:proofErr w:type="gramStart"/>
      <w:r w:rsidRPr="0044111E">
        <w:rPr>
          <w:rFonts w:ascii="Arial" w:eastAsia="Times New Roman" w:hAnsi="Arial" w:cs="Arial"/>
          <w:i/>
          <w:iCs/>
          <w:color w:val="000000"/>
          <w:sz w:val="20"/>
          <w:szCs w:val="20"/>
          <w:lang w:eastAsia="ru-RU"/>
        </w:rPr>
        <w:t>В</w:t>
      </w:r>
      <w:proofErr w:type="gramEnd"/>
      <w:r w:rsidRPr="0044111E">
        <w:rPr>
          <w:rFonts w:ascii="Arial" w:eastAsia="Times New Roman" w:hAnsi="Arial" w:cs="Arial"/>
          <w:i/>
          <w:iCs/>
          <w:color w:val="000000"/>
          <w:sz w:val="20"/>
          <w:szCs w:val="20"/>
          <w:lang w:eastAsia="ru-RU"/>
        </w:rPr>
        <w:t xml:space="preserve"> редакции </w:t>
      </w:r>
      <w:hyperlink r:id="rId27" w:history="1">
        <w:r w:rsidRPr="0044111E">
          <w:rPr>
            <w:rFonts w:ascii="Arial" w:eastAsia="Times New Roman" w:hAnsi="Arial" w:cs="Arial"/>
            <w:i/>
            <w:iCs/>
            <w:color w:val="990066"/>
            <w:sz w:val="20"/>
            <w:szCs w:val="20"/>
            <w:u w:val="single"/>
            <w:lang w:eastAsia="ru-RU"/>
          </w:rPr>
          <w:t>Закона</w:t>
        </w:r>
      </w:hyperlink>
      <w:r w:rsidRPr="0044111E">
        <w:rPr>
          <w:rFonts w:ascii="Arial" w:eastAsia="Times New Roman" w:hAnsi="Arial" w:cs="Arial"/>
          <w:i/>
          <w:iCs/>
          <w:color w:val="000000"/>
          <w:sz w:val="20"/>
          <w:szCs w:val="20"/>
          <w:lang w:eastAsia="ru-RU"/>
        </w:rPr>
        <w:t> КР от 4 июля 2005 года N 95)</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7" w:name="st_22"/>
      <w:bookmarkEnd w:id="27"/>
      <w:r w:rsidRPr="0044111E">
        <w:rPr>
          <w:rFonts w:ascii="Arial" w:eastAsia="Times New Roman" w:hAnsi="Arial" w:cs="Arial"/>
          <w:b/>
          <w:bCs/>
          <w:color w:val="000000"/>
          <w:sz w:val="20"/>
          <w:szCs w:val="20"/>
          <w:lang w:eastAsia="ru-RU"/>
        </w:rPr>
        <w:t>Статья 22. Учет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Учет предмета лизинга и начисление амортизации осуществляются в соответствии с требованиями законодательства Кыргызской Республики.</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8" w:name="st_23"/>
      <w:bookmarkEnd w:id="28"/>
      <w:r w:rsidRPr="0044111E">
        <w:rPr>
          <w:rFonts w:ascii="Arial" w:eastAsia="Times New Roman" w:hAnsi="Arial" w:cs="Arial"/>
          <w:b/>
          <w:bCs/>
          <w:color w:val="000000"/>
          <w:sz w:val="20"/>
          <w:szCs w:val="20"/>
          <w:lang w:eastAsia="ru-RU"/>
        </w:rPr>
        <w:t>Статья 23. Переоценка предмета лизинга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Переоценка предмета лизинга и начисленного на него износа осуществляется в порядке, установленном законодательством Кыргызской Республики.</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29" w:name="st_24"/>
      <w:bookmarkEnd w:id="29"/>
      <w:r w:rsidRPr="0044111E">
        <w:rPr>
          <w:rFonts w:ascii="Arial" w:eastAsia="Times New Roman" w:hAnsi="Arial" w:cs="Arial"/>
          <w:b/>
          <w:bCs/>
          <w:color w:val="000000"/>
          <w:sz w:val="20"/>
          <w:szCs w:val="20"/>
          <w:lang w:eastAsia="ru-RU"/>
        </w:rPr>
        <w:t>Статья 24. Порядок разрешения споров</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Споры между субъектами договора лизинга решаются в порядке, установленном законодательством Кыргызской Республики.</w:t>
      </w:r>
    </w:p>
    <w:p w:rsidR="0044111E" w:rsidRPr="0044111E" w:rsidRDefault="0044111E" w:rsidP="0044111E">
      <w:pPr>
        <w:shd w:val="clear" w:color="auto" w:fill="FFFFFF"/>
        <w:spacing w:before="200" w:after="200" w:line="276" w:lineRule="atLeast"/>
        <w:ind w:left="1134" w:right="1134" w:firstLine="0"/>
        <w:jc w:val="center"/>
        <w:rPr>
          <w:rFonts w:ascii="Arial" w:eastAsia="Times New Roman" w:hAnsi="Arial" w:cs="Arial"/>
          <w:b/>
          <w:bCs/>
          <w:color w:val="000000"/>
          <w:sz w:val="27"/>
          <w:szCs w:val="27"/>
          <w:lang w:eastAsia="ru-RU"/>
        </w:rPr>
      </w:pPr>
      <w:bookmarkStart w:id="30" w:name="r3"/>
      <w:bookmarkEnd w:id="30"/>
      <w:r w:rsidRPr="0044111E">
        <w:rPr>
          <w:rFonts w:ascii="Arial" w:eastAsia="Times New Roman" w:hAnsi="Arial" w:cs="Arial"/>
          <w:b/>
          <w:bCs/>
          <w:color w:val="000000"/>
          <w:sz w:val="27"/>
          <w:szCs w:val="27"/>
          <w:lang w:eastAsia="ru-RU"/>
        </w:rPr>
        <w:lastRenderedPageBreak/>
        <w:t>Раздел 3</w:t>
      </w:r>
      <w:r w:rsidRPr="0044111E">
        <w:rPr>
          <w:rFonts w:ascii="Arial" w:eastAsia="Times New Roman" w:hAnsi="Arial" w:cs="Arial"/>
          <w:b/>
          <w:bCs/>
          <w:color w:val="000000"/>
          <w:sz w:val="27"/>
          <w:szCs w:val="27"/>
          <w:lang w:eastAsia="ru-RU"/>
        </w:rPr>
        <w:br/>
        <w:t>Заключительные положения</w:t>
      </w:r>
    </w:p>
    <w:p w:rsidR="0044111E" w:rsidRPr="0044111E" w:rsidRDefault="0044111E" w:rsidP="0044111E">
      <w:pPr>
        <w:shd w:val="clear" w:color="auto" w:fill="FFFFFF"/>
        <w:spacing w:before="200" w:after="60" w:line="230" w:lineRule="atLeast"/>
        <w:ind w:firstLine="567"/>
        <w:jc w:val="left"/>
        <w:rPr>
          <w:rFonts w:ascii="Arial" w:eastAsia="Times New Roman" w:hAnsi="Arial" w:cs="Arial"/>
          <w:b/>
          <w:bCs/>
          <w:color w:val="000000"/>
          <w:sz w:val="20"/>
          <w:szCs w:val="20"/>
          <w:lang w:eastAsia="ru-RU"/>
        </w:rPr>
      </w:pPr>
      <w:bookmarkStart w:id="31" w:name="st_25"/>
      <w:bookmarkEnd w:id="31"/>
      <w:r w:rsidRPr="0044111E">
        <w:rPr>
          <w:rFonts w:ascii="Arial" w:eastAsia="Times New Roman" w:hAnsi="Arial" w:cs="Arial"/>
          <w:b/>
          <w:bCs/>
          <w:color w:val="000000"/>
          <w:sz w:val="20"/>
          <w:szCs w:val="20"/>
          <w:lang w:eastAsia="ru-RU"/>
        </w:rPr>
        <w:t>Статья 25. О введении в действие настоящего Закона</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1. Настоящий Закон вступает в силу с момента опубликования.</w:t>
      </w:r>
    </w:p>
    <w:p w:rsidR="0044111E" w:rsidRPr="0044111E" w:rsidRDefault="0044111E" w:rsidP="0044111E">
      <w:pPr>
        <w:shd w:val="clear" w:color="auto" w:fill="FFFFFF"/>
        <w:spacing w:after="60" w:line="230" w:lineRule="atLeast"/>
        <w:ind w:firstLine="567"/>
        <w:rPr>
          <w:rFonts w:ascii="Arial" w:eastAsia="Times New Roman" w:hAnsi="Arial" w:cs="Arial"/>
          <w:i/>
          <w:iCs/>
          <w:color w:val="006600"/>
          <w:sz w:val="20"/>
          <w:szCs w:val="20"/>
          <w:lang w:eastAsia="ru-RU"/>
        </w:rPr>
      </w:pPr>
      <w:r w:rsidRPr="0044111E">
        <w:rPr>
          <w:rFonts w:ascii="Arial" w:eastAsia="Times New Roman" w:hAnsi="Arial" w:cs="Arial"/>
          <w:i/>
          <w:iCs/>
          <w:color w:val="006600"/>
          <w:sz w:val="20"/>
          <w:szCs w:val="20"/>
          <w:lang w:eastAsia="ru-RU"/>
        </w:rPr>
        <w:t>Опубликован в газете "Эркин Тоо" от 2 августа 2002 года N 58</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2. Правительству Кыргызской Республики в двухмесячный срок:</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представить в Жогорку Кенеш Кыргызской Республики предложения по приведению законодательных актов Кыргызской Республики в соответствие с настоящим Законом;</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привести свои решения в соответствие с настоящим Законом.</w:t>
      </w:r>
    </w:p>
    <w:p w:rsidR="0044111E" w:rsidRPr="0044111E" w:rsidRDefault="0044111E" w:rsidP="0044111E">
      <w:pPr>
        <w:shd w:val="clear" w:color="auto" w:fill="FFFFFF"/>
        <w:spacing w:after="60" w:line="230" w:lineRule="atLeast"/>
        <w:ind w:firstLine="567"/>
        <w:rPr>
          <w:rFonts w:ascii="Arial" w:eastAsia="Times New Roman" w:hAnsi="Arial" w:cs="Arial"/>
          <w:color w:val="000000"/>
          <w:sz w:val="20"/>
          <w:szCs w:val="20"/>
          <w:lang w:eastAsia="ru-RU"/>
        </w:rPr>
      </w:pPr>
      <w:r w:rsidRPr="0044111E">
        <w:rPr>
          <w:rFonts w:ascii="Arial" w:eastAsia="Times New Roman" w:hAnsi="Arial" w:cs="Arial"/>
          <w:color w:val="000000"/>
          <w:sz w:val="20"/>
          <w:szCs w:val="20"/>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44111E" w:rsidRPr="0044111E" w:rsidTr="0044111E">
        <w:tc>
          <w:tcPr>
            <w:tcW w:w="1750" w:type="pct"/>
            <w:shd w:val="clear" w:color="auto" w:fill="FFFFFF"/>
            <w:tcMar>
              <w:top w:w="0" w:type="dxa"/>
              <w:left w:w="567"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Президент Кыргызской Республики</w:t>
            </w:r>
          </w:p>
        </w:tc>
        <w:tc>
          <w:tcPr>
            <w:tcW w:w="1500" w:type="pct"/>
            <w:shd w:val="clear" w:color="auto" w:fill="FFFFFF"/>
            <w:tcMar>
              <w:top w:w="0" w:type="dxa"/>
              <w:left w:w="108"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c>
          <w:tcPr>
            <w:tcW w:w="1750" w:type="pct"/>
            <w:shd w:val="clear" w:color="auto" w:fill="FFFFFF"/>
            <w:tcMar>
              <w:top w:w="0" w:type="dxa"/>
              <w:left w:w="108" w:type="dxa"/>
              <w:bottom w:w="0" w:type="dxa"/>
              <w:right w:w="108" w:type="dxa"/>
            </w:tcMar>
            <w:vAlign w:val="bottom"/>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А.Акаев</w:t>
            </w:r>
          </w:p>
        </w:tc>
      </w:tr>
      <w:tr w:rsidR="0044111E" w:rsidRPr="0044111E" w:rsidTr="0044111E">
        <w:tc>
          <w:tcPr>
            <w:tcW w:w="1750" w:type="pct"/>
            <w:shd w:val="clear" w:color="auto" w:fill="FFFFFF"/>
            <w:tcMar>
              <w:top w:w="0" w:type="dxa"/>
              <w:left w:w="567"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c>
          <w:tcPr>
            <w:tcW w:w="1500" w:type="pct"/>
            <w:shd w:val="clear" w:color="auto" w:fill="FFFFFF"/>
            <w:tcMar>
              <w:top w:w="0" w:type="dxa"/>
              <w:left w:w="108"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c>
          <w:tcPr>
            <w:tcW w:w="1750" w:type="pct"/>
            <w:shd w:val="clear" w:color="auto" w:fill="FFFFFF"/>
            <w:tcMar>
              <w:top w:w="0" w:type="dxa"/>
              <w:left w:w="108" w:type="dxa"/>
              <w:bottom w:w="0" w:type="dxa"/>
              <w:right w:w="108" w:type="dxa"/>
            </w:tcMar>
            <w:vAlign w:val="bottom"/>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r>
      <w:tr w:rsidR="0044111E" w:rsidRPr="0044111E" w:rsidTr="0044111E">
        <w:tc>
          <w:tcPr>
            <w:tcW w:w="1750" w:type="pct"/>
            <w:shd w:val="clear" w:color="auto" w:fill="FFFFFF"/>
            <w:tcMar>
              <w:top w:w="0" w:type="dxa"/>
              <w:left w:w="567"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Принят Законодательным собранием Жогорку Кенеша Кыргызской Республики</w:t>
            </w:r>
          </w:p>
        </w:tc>
        <w:tc>
          <w:tcPr>
            <w:tcW w:w="1500" w:type="pct"/>
            <w:shd w:val="clear" w:color="auto" w:fill="FFFFFF"/>
            <w:tcMar>
              <w:top w:w="0" w:type="dxa"/>
              <w:left w:w="108"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c>
          <w:tcPr>
            <w:tcW w:w="1750" w:type="pct"/>
            <w:shd w:val="clear" w:color="auto" w:fill="FFFFFF"/>
            <w:tcMar>
              <w:top w:w="0" w:type="dxa"/>
              <w:left w:w="108" w:type="dxa"/>
              <w:bottom w:w="0" w:type="dxa"/>
              <w:right w:w="108" w:type="dxa"/>
            </w:tcMar>
            <w:vAlign w:val="bottom"/>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13 июня 2002 года</w:t>
            </w:r>
          </w:p>
        </w:tc>
      </w:tr>
      <w:tr w:rsidR="0044111E" w:rsidRPr="0044111E" w:rsidTr="0044111E">
        <w:tc>
          <w:tcPr>
            <w:tcW w:w="1750" w:type="pct"/>
            <w:shd w:val="clear" w:color="auto" w:fill="FFFFFF"/>
            <w:tcMar>
              <w:top w:w="0" w:type="dxa"/>
              <w:left w:w="567"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c>
          <w:tcPr>
            <w:tcW w:w="1500" w:type="pct"/>
            <w:shd w:val="clear" w:color="auto" w:fill="FFFFFF"/>
            <w:tcMar>
              <w:top w:w="0" w:type="dxa"/>
              <w:left w:w="108"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c>
          <w:tcPr>
            <w:tcW w:w="1750" w:type="pct"/>
            <w:shd w:val="clear" w:color="auto" w:fill="FFFFFF"/>
            <w:tcMar>
              <w:top w:w="0" w:type="dxa"/>
              <w:left w:w="108" w:type="dxa"/>
              <w:bottom w:w="0" w:type="dxa"/>
              <w:right w:w="108" w:type="dxa"/>
            </w:tcMar>
            <w:vAlign w:val="bottom"/>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r>
      <w:tr w:rsidR="0044111E" w:rsidRPr="0044111E" w:rsidTr="0044111E">
        <w:tc>
          <w:tcPr>
            <w:tcW w:w="1750" w:type="pct"/>
            <w:shd w:val="clear" w:color="auto" w:fill="FFFFFF"/>
            <w:tcMar>
              <w:top w:w="0" w:type="dxa"/>
              <w:left w:w="567"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Одобрен Собранием народных представителей Жогорку Кенеша Кыргызской Республики</w:t>
            </w:r>
          </w:p>
        </w:tc>
        <w:tc>
          <w:tcPr>
            <w:tcW w:w="1500" w:type="pct"/>
            <w:shd w:val="clear" w:color="auto" w:fill="FFFFFF"/>
            <w:tcMar>
              <w:top w:w="0" w:type="dxa"/>
              <w:left w:w="108" w:type="dxa"/>
              <w:bottom w:w="0" w:type="dxa"/>
              <w:right w:w="108" w:type="dxa"/>
            </w:tcMar>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 </w:t>
            </w:r>
          </w:p>
        </w:tc>
        <w:tc>
          <w:tcPr>
            <w:tcW w:w="1750" w:type="pct"/>
            <w:shd w:val="clear" w:color="auto" w:fill="FFFFFF"/>
            <w:tcMar>
              <w:top w:w="0" w:type="dxa"/>
              <w:left w:w="108" w:type="dxa"/>
              <w:bottom w:w="0" w:type="dxa"/>
              <w:right w:w="108" w:type="dxa"/>
            </w:tcMar>
            <w:vAlign w:val="bottom"/>
            <w:hideMark/>
          </w:tcPr>
          <w:p w:rsidR="0044111E" w:rsidRPr="0044111E" w:rsidRDefault="0044111E" w:rsidP="0044111E">
            <w:pPr>
              <w:spacing w:after="60" w:line="230" w:lineRule="atLeast"/>
              <w:ind w:firstLine="0"/>
              <w:jc w:val="left"/>
              <w:rPr>
                <w:rFonts w:ascii="Arial" w:eastAsia="Times New Roman" w:hAnsi="Arial" w:cs="Arial"/>
                <w:b/>
                <w:bCs/>
                <w:color w:val="000000"/>
                <w:sz w:val="20"/>
                <w:szCs w:val="20"/>
                <w:lang w:eastAsia="ru-RU"/>
              </w:rPr>
            </w:pPr>
            <w:r w:rsidRPr="0044111E">
              <w:rPr>
                <w:rFonts w:ascii="Arial" w:eastAsia="Times New Roman" w:hAnsi="Arial" w:cs="Arial"/>
                <w:b/>
                <w:bCs/>
                <w:color w:val="000000"/>
                <w:sz w:val="20"/>
                <w:szCs w:val="20"/>
                <w:lang w:eastAsia="ru-RU"/>
              </w:rPr>
              <w:t>3 июля 2002 года</w:t>
            </w:r>
          </w:p>
        </w:tc>
      </w:tr>
    </w:tbl>
    <w:p w:rsidR="001F0B6B" w:rsidRDefault="001F0B6B"/>
    <w:sectPr w:rsidR="001F0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9F"/>
    <w:rsid w:val="001F0B6B"/>
    <w:rsid w:val="0040081E"/>
    <w:rsid w:val="0044111E"/>
    <w:rsid w:val="00E9459F"/>
    <w:rsid w:val="00F5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4587F-06D3-4159-8910-6CB7BF19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forma">
    <w:name w:val="tkforma"/>
    <w:basedOn w:val="a"/>
    <w:rsid w:val="0044111E"/>
    <w:pPr>
      <w:spacing w:before="100" w:beforeAutospacing="1" w:after="100" w:afterAutospacing="1"/>
      <w:ind w:firstLine="0"/>
      <w:jc w:val="left"/>
    </w:pPr>
    <w:rPr>
      <w:rFonts w:eastAsia="Times New Roman"/>
      <w:lang w:eastAsia="ru-RU"/>
    </w:rPr>
  </w:style>
  <w:style w:type="paragraph" w:customStyle="1" w:styleId="tkrekvizit">
    <w:name w:val="tkrekvizit"/>
    <w:basedOn w:val="a"/>
    <w:rsid w:val="0044111E"/>
    <w:pPr>
      <w:spacing w:before="100" w:beforeAutospacing="1" w:after="100" w:afterAutospacing="1"/>
      <w:ind w:firstLine="0"/>
      <w:jc w:val="left"/>
    </w:pPr>
    <w:rPr>
      <w:rFonts w:eastAsia="Times New Roman"/>
      <w:lang w:eastAsia="ru-RU"/>
    </w:rPr>
  </w:style>
  <w:style w:type="paragraph" w:customStyle="1" w:styleId="tknazvanie">
    <w:name w:val="tknazvanie"/>
    <w:basedOn w:val="a"/>
    <w:rsid w:val="0044111E"/>
    <w:pPr>
      <w:spacing w:before="100" w:beforeAutospacing="1" w:after="100" w:afterAutospacing="1"/>
      <w:ind w:firstLine="0"/>
      <w:jc w:val="left"/>
    </w:pPr>
    <w:rPr>
      <w:rFonts w:eastAsia="Times New Roman"/>
      <w:lang w:eastAsia="ru-RU"/>
    </w:rPr>
  </w:style>
  <w:style w:type="paragraph" w:customStyle="1" w:styleId="tkredakcijaspisok">
    <w:name w:val="tkredakcijaspisok"/>
    <w:basedOn w:val="a"/>
    <w:rsid w:val="0044111E"/>
    <w:pPr>
      <w:spacing w:before="100" w:beforeAutospacing="1" w:after="100" w:afterAutospacing="1"/>
      <w:ind w:firstLine="0"/>
      <w:jc w:val="left"/>
    </w:pPr>
    <w:rPr>
      <w:rFonts w:eastAsia="Times New Roman"/>
      <w:lang w:eastAsia="ru-RU"/>
    </w:rPr>
  </w:style>
  <w:style w:type="character" w:customStyle="1" w:styleId="apple-converted-space">
    <w:name w:val="apple-converted-space"/>
    <w:basedOn w:val="a0"/>
    <w:rsid w:val="0044111E"/>
  </w:style>
  <w:style w:type="character" w:styleId="a3">
    <w:name w:val="Hyperlink"/>
    <w:basedOn w:val="a0"/>
    <w:uiPriority w:val="99"/>
    <w:semiHidden/>
    <w:unhideWhenUsed/>
    <w:rsid w:val="0044111E"/>
    <w:rPr>
      <w:color w:val="0000FF"/>
      <w:u w:val="single"/>
    </w:rPr>
  </w:style>
  <w:style w:type="paragraph" w:customStyle="1" w:styleId="tktekst">
    <w:name w:val="tktekst"/>
    <w:basedOn w:val="a"/>
    <w:rsid w:val="0044111E"/>
    <w:pPr>
      <w:spacing w:before="100" w:beforeAutospacing="1" w:after="100" w:afterAutospacing="1"/>
      <w:ind w:firstLine="0"/>
      <w:jc w:val="left"/>
    </w:pPr>
    <w:rPr>
      <w:rFonts w:eastAsia="Times New Roman"/>
      <w:lang w:eastAsia="ru-RU"/>
    </w:rPr>
  </w:style>
  <w:style w:type="paragraph" w:customStyle="1" w:styleId="tkzagolovok2">
    <w:name w:val="tkzagolovok2"/>
    <w:basedOn w:val="a"/>
    <w:rsid w:val="0044111E"/>
    <w:pPr>
      <w:spacing w:before="100" w:beforeAutospacing="1" w:after="100" w:afterAutospacing="1"/>
      <w:ind w:firstLine="0"/>
      <w:jc w:val="left"/>
    </w:pPr>
    <w:rPr>
      <w:rFonts w:eastAsia="Times New Roman"/>
      <w:lang w:eastAsia="ru-RU"/>
    </w:rPr>
  </w:style>
  <w:style w:type="paragraph" w:customStyle="1" w:styleId="tkzagolovok5">
    <w:name w:val="tkzagolovok5"/>
    <w:basedOn w:val="a"/>
    <w:rsid w:val="0044111E"/>
    <w:pPr>
      <w:spacing w:before="100" w:beforeAutospacing="1" w:after="100" w:afterAutospacing="1"/>
      <w:ind w:firstLine="0"/>
      <w:jc w:val="left"/>
    </w:pPr>
    <w:rPr>
      <w:rFonts w:eastAsia="Times New Roman"/>
      <w:lang w:eastAsia="ru-RU"/>
    </w:rPr>
  </w:style>
  <w:style w:type="paragraph" w:customStyle="1" w:styleId="tkredakcijatekst">
    <w:name w:val="tkredakcijatekst"/>
    <w:basedOn w:val="a"/>
    <w:rsid w:val="0044111E"/>
    <w:pPr>
      <w:spacing w:before="100" w:beforeAutospacing="1" w:after="100" w:afterAutospacing="1"/>
      <w:ind w:firstLine="0"/>
      <w:jc w:val="left"/>
    </w:pPr>
    <w:rPr>
      <w:rFonts w:eastAsia="Times New Roman"/>
      <w:lang w:eastAsia="ru-RU"/>
    </w:rPr>
  </w:style>
  <w:style w:type="paragraph" w:customStyle="1" w:styleId="tkkomentarij">
    <w:name w:val="tkkomentarij"/>
    <w:basedOn w:val="a"/>
    <w:rsid w:val="0044111E"/>
    <w:pPr>
      <w:spacing w:before="100" w:beforeAutospacing="1" w:after="100" w:afterAutospacing="1"/>
      <w:ind w:firstLine="0"/>
      <w:jc w:val="left"/>
    </w:pPr>
    <w:rPr>
      <w:rFonts w:eastAsia="Times New Roman"/>
      <w:lang w:eastAsia="ru-RU"/>
    </w:rPr>
  </w:style>
  <w:style w:type="paragraph" w:customStyle="1" w:styleId="tkpodpis">
    <w:name w:val="tkpodpis"/>
    <w:basedOn w:val="a"/>
    <w:rsid w:val="0044111E"/>
    <w:pPr>
      <w:spacing w:before="100" w:beforeAutospacing="1" w:after="100" w:afterAutospacing="1"/>
      <w:ind w:firstLine="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2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oktom.kg/new/30924-0" TargetMode="External"/><Relationship Id="rId13" Type="http://schemas.openxmlformats.org/officeDocument/2006/relationships/hyperlink" Target="https://online.toktom.kg/new/30924-0" TargetMode="External"/><Relationship Id="rId18" Type="http://schemas.openxmlformats.org/officeDocument/2006/relationships/hyperlink" Target="https://online.toktom.kg/new/57588-0" TargetMode="External"/><Relationship Id="rId26" Type="http://schemas.openxmlformats.org/officeDocument/2006/relationships/hyperlink" Target="https://online.toktom.kg/new/57588-0" TargetMode="External"/><Relationship Id="rId3" Type="http://schemas.openxmlformats.org/officeDocument/2006/relationships/webSettings" Target="webSettings.xml"/><Relationship Id="rId21" Type="http://schemas.openxmlformats.org/officeDocument/2006/relationships/hyperlink" Target="https://online.toktom.kg/new/57588-0" TargetMode="External"/><Relationship Id="rId7" Type="http://schemas.openxmlformats.org/officeDocument/2006/relationships/hyperlink" Target="https://online.toktom.kg/new/57588-0" TargetMode="External"/><Relationship Id="rId12" Type="http://schemas.openxmlformats.org/officeDocument/2006/relationships/hyperlink" Target="https://online.toktom.kg/new/57588-0" TargetMode="External"/><Relationship Id="rId17" Type="http://schemas.openxmlformats.org/officeDocument/2006/relationships/hyperlink" Target="https://online.toktom.kg/new/57588-0" TargetMode="External"/><Relationship Id="rId25" Type="http://schemas.openxmlformats.org/officeDocument/2006/relationships/hyperlink" Target="https://online.toktom.kg/new/57588-0" TargetMode="External"/><Relationship Id="rId2" Type="http://schemas.openxmlformats.org/officeDocument/2006/relationships/settings" Target="settings.xml"/><Relationship Id="rId16" Type="http://schemas.openxmlformats.org/officeDocument/2006/relationships/hyperlink" Target="https://online.toktom.kg/new/30924-0" TargetMode="External"/><Relationship Id="rId20" Type="http://schemas.openxmlformats.org/officeDocument/2006/relationships/hyperlink" Target="https://online.toktom.kg/new/57588-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nline.toktom.kg/new/57588-0" TargetMode="External"/><Relationship Id="rId11" Type="http://schemas.openxmlformats.org/officeDocument/2006/relationships/hyperlink" Target="https://online.toktom.kg/new/30924-0" TargetMode="External"/><Relationship Id="rId24" Type="http://schemas.openxmlformats.org/officeDocument/2006/relationships/hyperlink" Target="https://online.toktom.kg/new/30924-0" TargetMode="External"/><Relationship Id="rId5" Type="http://schemas.openxmlformats.org/officeDocument/2006/relationships/hyperlink" Target="https://online.toktom.kg/new/3128-0" TargetMode="External"/><Relationship Id="rId15" Type="http://schemas.openxmlformats.org/officeDocument/2006/relationships/hyperlink" Target="https://online.toktom.kg/new/57588-0" TargetMode="External"/><Relationship Id="rId23" Type="http://schemas.openxmlformats.org/officeDocument/2006/relationships/hyperlink" Target="https://online.toktom.kg/new/30924-0" TargetMode="External"/><Relationship Id="rId28" Type="http://schemas.openxmlformats.org/officeDocument/2006/relationships/fontTable" Target="fontTable.xml"/><Relationship Id="rId10" Type="http://schemas.openxmlformats.org/officeDocument/2006/relationships/hyperlink" Target="https://online.toktom.kg/new/30924-0" TargetMode="External"/><Relationship Id="rId19" Type="http://schemas.openxmlformats.org/officeDocument/2006/relationships/hyperlink" Target="https://online.toktom.kg/new/30924-0" TargetMode="External"/><Relationship Id="rId4" Type="http://schemas.openxmlformats.org/officeDocument/2006/relationships/hyperlink" Target="https://online.toktom.kg/new/57588-0" TargetMode="External"/><Relationship Id="rId9" Type="http://schemas.openxmlformats.org/officeDocument/2006/relationships/hyperlink" Target="https://online.toktom.kg/new/57588-0" TargetMode="External"/><Relationship Id="rId14" Type="http://schemas.openxmlformats.org/officeDocument/2006/relationships/hyperlink" Target="https://online.toktom.kg/new/57588-0" TargetMode="External"/><Relationship Id="rId22" Type="http://schemas.openxmlformats.org/officeDocument/2006/relationships/hyperlink" Target="https://online.toktom.kg/new/57588-0" TargetMode="External"/><Relationship Id="rId27" Type="http://schemas.openxmlformats.org/officeDocument/2006/relationships/hyperlink" Target="https://online.toktom.kg/new/575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3497</Words>
  <Characters>19934</Characters>
  <Application>Microsoft Office Word</Application>
  <DocSecurity>0</DocSecurity>
  <Lines>166</Lines>
  <Paragraphs>46</Paragraphs>
  <ScaleCrop>false</ScaleCrop>
  <Company>Hewlett-Packard Company</Company>
  <LinksUpToDate>false</LinksUpToDate>
  <CharactersWithSpaces>23385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2015-09-07T03:47:00Z</dcterms:created>
  <dcterms:modified xsi:type="dcterms:W3CDTF">2015-09-07T03:47:00Z</dcterms:modified>
</cp:coreProperties>
</file>