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E3" w:rsidRDefault="00E66DE3" w:rsidP="00E66DE3">
      <w:pPr>
        <w:pStyle w:val="tkforma"/>
        <w:shd w:val="clear" w:color="auto" w:fill="FFFFFF"/>
        <w:spacing w:before="0" w:beforeAutospacing="0" w:after="200" w:afterAutospacing="0" w:line="276" w:lineRule="atLeast"/>
        <w:ind w:left="1134" w:right="1134"/>
        <w:jc w:val="center"/>
        <w:rPr>
          <w:rFonts w:ascii="Arial" w:hAnsi="Arial" w:cs="Arial"/>
          <w:b/>
          <w:bCs/>
          <w:caps/>
          <w:color w:val="000000"/>
          <w:sz w:val="27"/>
          <w:szCs w:val="27"/>
        </w:rPr>
      </w:pPr>
      <w:r>
        <w:rPr>
          <w:rFonts w:ascii="Arial" w:hAnsi="Arial" w:cs="Arial"/>
          <w:b/>
          <w:bCs/>
          <w:caps/>
          <w:color w:val="000000"/>
          <w:sz w:val="27"/>
          <w:szCs w:val="27"/>
        </w:rPr>
        <w:t>ГРАЖДАНСКИЙ КОДЕКС КЫРГЫЗСКОЙ РЕСПУБЛИКИ</w:t>
      </w:r>
    </w:p>
    <w:p w:rsidR="00E66DE3" w:rsidRDefault="00E66DE3" w:rsidP="00E66DE3">
      <w:pPr>
        <w:pStyle w:val="tkrekvizit"/>
        <w:shd w:val="clear" w:color="auto" w:fill="FFFFFF"/>
        <w:spacing w:before="200" w:beforeAutospacing="0" w:after="200" w:afterAutospacing="0" w:line="230" w:lineRule="atLeast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г.Бишкек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от 5 января 1998 года N 1</w:t>
      </w:r>
    </w:p>
    <w:p w:rsidR="00E66DE3" w:rsidRDefault="00E66DE3" w:rsidP="00E66DE3">
      <w:pPr>
        <w:pStyle w:val="tkredakcijaspisok"/>
        <w:shd w:val="clear" w:color="auto" w:fill="FFFFFF"/>
        <w:spacing w:before="0" w:beforeAutospacing="0" w:after="200" w:afterAutospacing="0" w:line="230" w:lineRule="atLeast"/>
        <w:ind w:left="1134" w:right="1134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 (В редакции Законов КР от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4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21 июля 1999 года N 83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5" w:tooltip="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27 ноября 1999 года N 131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6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18 января 2000 года N 24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7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17 февраля 2003 года N 39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8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19 декабря 2003 года N 237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9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11 марта 2004 года N 20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0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4 июля 2005 года N 94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1" w:tooltip="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31 июля 2007 года N 121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2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19 марта 2008 года N 24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3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8 мая 2008 года N 80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4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17 октября 2008 года N 215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5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30 марта 2009 года N 104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6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17 июля 2009 года N 233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7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10 июня 2011 года N 35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8" w:tooltip="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25 февраля 2013 года N 32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9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30 мая 2013 года N 85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20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24 июля 2013 года N 162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21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3 августа 2013 года N 186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22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14 марта 2014 года</w:t>
        </w:r>
        <w:r>
          <w:rPr>
            <w:rStyle w:val="apple-converted-space"/>
            <w:rFonts w:ascii="Arial" w:hAnsi="Arial" w:cs="Arial"/>
            <w:i/>
            <w:iCs/>
            <w:color w:val="990066"/>
            <w:sz w:val="20"/>
            <w:szCs w:val="20"/>
          </w:rPr>
          <w:t> </w:t>
        </w:r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  <w:lang w:val="en-US"/>
          </w:rPr>
          <w:t>N</w:t>
        </w:r>
        <w:r>
          <w:rPr>
            <w:rStyle w:val="apple-converted-space"/>
            <w:rFonts w:ascii="Arial" w:hAnsi="Arial" w:cs="Arial"/>
            <w:i/>
            <w:iCs/>
            <w:color w:val="990066"/>
            <w:sz w:val="20"/>
            <w:szCs w:val="20"/>
          </w:rPr>
          <w:t> </w:t>
        </w:r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49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23" w:tooltip="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3 июля 2014 года</w:t>
        </w:r>
        <w:r>
          <w:rPr>
            <w:rStyle w:val="apple-converted-space"/>
            <w:rFonts w:ascii="Arial" w:hAnsi="Arial" w:cs="Arial"/>
            <w:i/>
            <w:iCs/>
            <w:color w:val="990066"/>
            <w:sz w:val="20"/>
            <w:szCs w:val="20"/>
          </w:rPr>
          <w:t> </w:t>
        </w:r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  <w:lang w:val="ky-KG"/>
          </w:rPr>
          <w:t>N</w:t>
        </w:r>
        <w:r>
          <w:rPr>
            <w:rStyle w:val="apple-converted-space"/>
            <w:rFonts w:ascii="Arial" w:hAnsi="Arial" w:cs="Arial"/>
            <w:i/>
            <w:iCs/>
            <w:color w:val="990066"/>
            <w:sz w:val="20"/>
            <w:szCs w:val="20"/>
          </w:rPr>
          <w:t> </w:t>
        </w:r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111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24" w:tooltip="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8 апреля 2015 года</w:t>
        </w:r>
        <w:r>
          <w:rPr>
            <w:rStyle w:val="apple-converted-space"/>
            <w:rFonts w:ascii="Arial" w:hAnsi="Arial" w:cs="Arial"/>
            <w:i/>
            <w:iCs/>
            <w:color w:val="990066"/>
            <w:sz w:val="20"/>
            <w:szCs w:val="20"/>
          </w:rPr>
          <w:t> </w:t>
        </w:r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  <w:lang w:val="en-US"/>
          </w:rPr>
          <w:t>N</w:t>
        </w:r>
        <w:r>
          <w:rPr>
            <w:rStyle w:val="apple-converted-space"/>
            <w:rFonts w:ascii="Arial" w:hAnsi="Arial" w:cs="Arial"/>
            <w:i/>
            <w:iCs/>
            <w:color w:val="990066"/>
            <w:sz w:val="20"/>
            <w:szCs w:val="20"/>
          </w:rPr>
          <w:t> </w:t>
        </w:r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74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25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24 июля 2015 года</w:t>
        </w:r>
        <w:r>
          <w:rPr>
            <w:rStyle w:val="apple-converted-space"/>
            <w:rFonts w:ascii="Arial" w:hAnsi="Arial" w:cs="Arial"/>
            <w:i/>
            <w:iCs/>
            <w:color w:val="990066"/>
            <w:sz w:val="20"/>
            <w:szCs w:val="20"/>
          </w:rPr>
          <w:t> </w:t>
        </w:r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  <w:lang w:val="en-US"/>
          </w:rPr>
          <w:t>N</w:t>
        </w:r>
        <w:r>
          <w:rPr>
            <w:rStyle w:val="apple-converted-space"/>
            <w:rFonts w:ascii="Arial" w:hAnsi="Arial" w:cs="Arial"/>
            <w:i/>
            <w:iCs/>
            <w:color w:val="990066"/>
            <w:sz w:val="20"/>
            <w:szCs w:val="20"/>
          </w:rPr>
          <w:t> </w:t>
        </w:r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191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:rsidR="00E66DE3" w:rsidRDefault="00E66DE3" w:rsidP="00E66DE3">
      <w:pPr>
        <w:pStyle w:val="tkkomentarij"/>
        <w:shd w:val="clear" w:color="auto" w:fill="FFFFFF"/>
        <w:spacing w:before="0" w:beforeAutospacing="0" w:after="60" w:afterAutospacing="0" w:line="230" w:lineRule="atLeast"/>
        <w:ind w:firstLine="567"/>
        <w:jc w:val="center"/>
        <w:rPr>
          <w:rFonts w:ascii="Arial" w:hAnsi="Arial" w:cs="Arial"/>
          <w:i/>
          <w:iCs/>
          <w:color w:val="006600"/>
          <w:sz w:val="20"/>
          <w:szCs w:val="20"/>
        </w:rPr>
      </w:pPr>
      <w:r>
        <w:rPr>
          <w:rFonts w:ascii="Arial" w:hAnsi="Arial" w:cs="Arial"/>
          <w:i/>
          <w:iCs/>
          <w:color w:val="006600"/>
          <w:sz w:val="20"/>
          <w:szCs w:val="20"/>
        </w:rPr>
        <w:t>(Введен в действие</w:t>
      </w:r>
      <w:r>
        <w:rPr>
          <w:rStyle w:val="apple-converted-space"/>
          <w:rFonts w:ascii="Arial" w:hAnsi="Arial" w:cs="Arial"/>
          <w:i/>
          <w:iCs/>
          <w:color w:val="006600"/>
          <w:sz w:val="20"/>
          <w:szCs w:val="20"/>
        </w:rPr>
        <w:t> </w:t>
      </w:r>
      <w:hyperlink r:id="rId26" w:history="1">
        <w:r>
          <w:rPr>
            <w:rStyle w:val="a3"/>
            <w:rFonts w:ascii="Arial" w:hAnsi="Arial" w:cs="Arial"/>
            <w:i/>
            <w:iCs/>
            <w:color w:val="990066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i/>
          <w:iCs/>
          <w:color w:val="006600"/>
          <w:sz w:val="20"/>
          <w:szCs w:val="20"/>
        </w:rPr>
        <w:t> </w:t>
      </w:r>
      <w:r>
        <w:rPr>
          <w:rFonts w:ascii="Arial" w:hAnsi="Arial" w:cs="Arial"/>
          <w:i/>
          <w:iCs/>
          <w:color w:val="006600"/>
          <w:sz w:val="20"/>
          <w:szCs w:val="20"/>
        </w:rPr>
        <w:t>КР от 5 января 1998 года N 2)</w:t>
      </w:r>
    </w:p>
    <w:p w:rsidR="00E66DE3" w:rsidRDefault="00E66DE3" w:rsidP="00E66DE3">
      <w:pPr>
        <w:shd w:val="clear" w:color="auto" w:fill="FFFFFF"/>
        <w:spacing w:before="200" w:after="200" w:line="276" w:lineRule="atLeast"/>
        <w:ind w:left="1134" w:right="1134" w:firstLine="0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E66DE3" w:rsidRPr="00E66DE3" w:rsidRDefault="00E66DE3" w:rsidP="00E66DE3">
      <w:pPr>
        <w:shd w:val="clear" w:color="auto" w:fill="FFFFFF"/>
        <w:spacing w:before="200" w:after="200" w:line="276" w:lineRule="atLeast"/>
        <w:ind w:left="1134" w:right="1134" w:firstLine="0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66DE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Параграф 6</w:t>
      </w:r>
      <w:r w:rsidRPr="00E66DE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Финансовая аренда (лизинг)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См. также </w:t>
      </w:r>
      <w:hyperlink r:id="rId27" w:history="1">
        <w:r w:rsidRPr="00E66DE3">
          <w:rPr>
            <w:rFonts w:ascii="Arial" w:eastAsia="Times New Roman" w:hAnsi="Arial" w:cs="Arial"/>
            <w:i/>
            <w:iCs/>
            <w:color w:val="990066"/>
            <w:sz w:val="20"/>
            <w:szCs w:val="20"/>
            <w:u w:val="single"/>
            <w:lang w:eastAsia="ru-RU"/>
          </w:rPr>
          <w:t>Закон</w:t>
        </w:r>
      </w:hyperlink>
      <w:r w:rsidRPr="00E66DE3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 КР от 23 июля 2002 года N 121 "О финансовой аренде (лизинге)"</w:t>
      </w:r>
    </w:p>
    <w:p w:rsidR="00E66DE3" w:rsidRPr="00E66DE3" w:rsidRDefault="00E66DE3" w:rsidP="00E66DE3">
      <w:pPr>
        <w:shd w:val="clear" w:color="auto" w:fill="FFFFFF"/>
        <w:spacing w:before="200" w:after="60" w:line="230" w:lineRule="atLeast"/>
        <w:ind w:firstLine="567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st_603"/>
      <w:bookmarkEnd w:id="0"/>
      <w:r w:rsidRPr="00E66D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Статья 603. Договор финансовой аренды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договору финансовой аренды (договору лизинга) арендодатель обязуется приобрести в собственность указанное арендатором имуще</w:t>
      </w:r>
      <w:bookmarkStart w:id="1" w:name="_GoBack"/>
      <w:bookmarkEnd w:id="1"/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ство у определенного им продавца и предоставить арендатору это имущество за плату во временное владение и пользование для предпринимательских целей. Арендодатель в этом случае не несет ответственности за выбор предмета аренды и продавца.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Договором финансовой аренды может быть предусмотрено, что выбор продавца и приобретенного имущества осуществляется арендодателем.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Законодательством </w:t>
      </w:r>
      <w:proofErr w:type="spellStart"/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Кыргызской</w:t>
      </w:r>
      <w:proofErr w:type="spellEnd"/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Республики могут быть установлены отдельные признаки финансовой аренды (лизинга).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E66D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</w:t>
      </w:r>
      <w:proofErr w:type="gramEnd"/>
      <w:r w:rsidRPr="00E66D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редакции </w:t>
      </w:r>
      <w:hyperlink r:id="rId28" w:history="1">
        <w:r w:rsidRPr="00E66DE3">
          <w:rPr>
            <w:rFonts w:ascii="Arial" w:eastAsia="Times New Roman" w:hAnsi="Arial" w:cs="Arial"/>
            <w:i/>
            <w:iCs/>
            <w:color w:val="990066"/>
            <w:sz w:val="20"/>
            <w:szCs w:val="20"/>
            <w:u w:val="single"/>
            <w:lang w:eastAsia="ru-RU"/>
          </w:rPr>
          <w:t>Закона</w:t>
        </w:r>
      </w:hyperlink>
      <w:r w:rsidRPr="00E66D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КР от 4 июля 2005 года N 94)</w:t>
      </w:r>
    </w:p>
    <w:p w:rsidR="00E66DE3" w:rsidRPr="00E66DE3" w:rsidRDefault="00E66DE3" w:rsidP="00E66DE3">
      <w:pPr>
        <w:ind w:firstLine="0"/>
        <w:jc w:val="left"/>
        <w:rPr>
          <w:rFonts w:eastAsia="Times New Roman"/>
          <w:lang w:eastAsia="ru-RU"/>
        </w:rPr>
      </w:pPr>
      <w:bookmarkStart w:id="2" w:name="st_604"/>
      <w:bookmarkEnd w:id="2"/>
      <w:r w:rsidRPr="00E66DE3">
        <w:rPr>
          <w:rFonts w:ascii="Trebuchet MS" w:eastAsia="Times New Roman" w:hAnsi="Trebuchet MS"/>
          <w:noProof/>
          <w:color w:val="990066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228600" cy="228600"/>
            <wp:effectExtent l="0" t="0" r="0" b="0"/>
            <wp:docPr id="1" name="Рисунок 1" descr="https://online.toktom.kg/new/Content/images/loccorresp.png">
              <a:hlinkClick xmlns:a="http://schemas.openxmlformats.org/drawingml/2006/main" r:id="rId29" tooltip="&quot;Открыть список документов ссылающихся на данный фрагме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34" descr="https://online.toktom.kg/new/Content/images/loccorresp.png">
                      <a:hlinkClick r:id="rId29" tooltip="&quot;Открыть список документов ссылающихся на данный фрагме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DE3" w:rsidRPr="00E66DE3" w:rsidRDefault="00E66DE3" w:rsidP="00E66DE3">
      <w:pPr>
        <w:shd w:val="clear" w:color="auto" w:fill="FFFFFF"/>
        <w:spacing w:before="200" w:after="60" w:line="230" w:lineRule="atLeast"/>
        <w:ind w:firstLine="567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Статья 604. Предмет договора финансовой аренды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Предметом договора финансовой аренды могут быть любые </w:t>
      </w:r>
      <w:proofErr w:type="spellStart"/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непотребляемые</w:t>
      </w:r>
      <w:proofErr w:type="spellEnd"/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вещи, в том числе предприятия и другие имущественные комплексы, здания, сооружения, оборудование, транспортные средства и другое движимое и недвижимое имущество, используемое для предпринимательской деятельности.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Предметом лизинга не могут выступать природные объекты, кроме земельных участков, а также имущество, запрещенное законодательством для свободного обращения или для которого установлен особый порядок обращения.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E66D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</w:t>
      </w:r>
      <w:proofErr w:type="gramEnd"/>
      <w:r w:rsidRPr="00E66D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редакции Закона КР от </w:t>
      </w:r>
      <w:hyperlink r:id="rId31" w:tooltip="" w:history="1">
        <w:r w:rsidRPr="00E66DE3">
          <w:rPr>
            <w:rFonts w:ascii="Arial" w:eastAsia="Times New Roman" w:hAnsi="Arial" w:cs="Arial"/>
            <w:i/>
            <w:iCs/>
            <w:color w:val="990066"/>
            <w:sz w:val="20"/>
            <w:szCs w:val="20"/>
            <w:u w:val="single"/>
            <w:lang w:eastAsia="ru-RU"/>
          </w:rPr>
          <w:t>14 марта 2014 года </w:t>
        </w:r>
        <w:r w:rsidRPr="00E66DE3">
          <w:rPr>
            <w:rFonts w:ascii="Arial" w:eastAsia="Times New Roman" w:hAnsi="Arial" w:cs="Arial"/>
            <w:i/>
            <w:iCs/>
            <w:color w:val="990066"/>
            <w:sz w:val="20"/>
            <w:szCs w:val="20"/>
            <w:u w:val="single"/>
            <w:lang w:val="en-US" w:eastAsia="ru-RU"/>
          </w:rPr>
          <w:t>N</w:t>
        </w:r>
        <w:r w:rsidRPr="00E66DE3">
          <w:rPr>
            <w:rFonts w:ascii="Arial" w:eastAsia="Times New Roman" w:hAnsi="Arial" w:cs="Arial"/>
            <w:i/>
            <w:iCs/>
            <w:color w:val="990066"/>
            <w:sz w:val="20"/>
            <w:szCs w:val="20"/>
            <w:u w:val="single"/>
            <w:lang w:eastAsia="ru-RU"/>
          </w:rPr>
          <w:t> 49</w:t>
        </w:r>
      </w:hyperlink>
      <w:r w:rsidRPr="00E66D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E66DE3" w:rsidRPr="00E66DE3" w:rsidRDefault="00E66DE3" w:rsidP="00E66DE3">
      <w:pPr>
        <w:shd w:val="clear" w:color="auto" w:fill="FFFFFF"/>
        <w:spacing w:before="200" w:after="60" w:line="230" w:lineRule="atLeast"/>
        <w:ind w:firstLine="567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3" w:name="st_605"/>
      <w:bookmarkEnd w:id="3"/>
      <w:r w:rsidRPr="00E66D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Статья 605. Уведомление продавца о сдаче имущества в аренду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Арендодатель, приобретая имущество для арендатора, должен уведомить продавца о том, что имущество предназначено для передачи его в аренду определенному лицу.</w:t>
      </w:r>
    </w:p>
    <w:p w:rsidR="00E66DE3" w:rsidRPr="00E66DE3" w:rsidRDefault="00E66DE3" w:rsidP="00E66DE3">
      <w:pPr>
        <w:shd w:val="clear" w:color="auto" w:fill="FFFFFF"/>
        <w:spacing w:before="200" w:after="60" w:line="230" w:lineRule="atLeast"/>
        <w:ind w:firstLine="567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4" w:name="st_606"/>
      <w:bookmarkEnd w:id="4"/>
      <w:r w:rsidRPr="00E66D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Статья 606. Передача арендатору предмета договора финансовой аренды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Если иное не предусмотрено договором финансовой аренды, имущество, являющееся предметом этого договора, передается продавцом непосредственно арендатору в месте нахождения последнего.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 случае, когда имущество, являющееся предметом договора финансовой аренды, не передано арендатору в указанный в этом договоре срок, а если в договоре такой срок не указан, - в разумный срок, арендатор вправе, если просрочка допущена по обстоятельствам, за которые отвечает арендодатель, потребовать расторжения договора и возмещения убытков.</w:t>
      </w:r>
    </w:p>
    <w:p w:rsidR="00E66DE3" w:rsidRPr="00E66DE3" w:rsidRDefault="00E66DE3" w:rsidP="00E66DE3">
      <w:pPr>
        <w:shd w:val="clear" w:color="auto" w:fill="FFFFFF"/>
        <w:spacing w:before="200" w:after="60" w:line="230" w:lineRule="atLeast"/>
        <w:ind w:firstLine="567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5" w:name="st_607"/>
      <w:bookmarkEnd w:id="5"/>
      <w:r w:rsidRPr="00E66D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Статья 607. Переход к арендатору риска случайной гибели или случайной порчи имущества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Риск случайной гибели или случайной порчи арендованного имущества переходит к арендатору в момент передачи ему арендованного имущества, если иное не предусмотрено договором финансовой аренды.</w:t>
      </w:r>
    </w:p>
    <w:p w:rsidR="00E66DE3" w:rsidRPr="00E66DE3" w:rsidRDefault="00E66DE3" w:rsidP="00E66DE3">
      <w:pPr>
        <w:shd w:val="clear" w:color="auto" w:fill="FFFFFF"/>
        <w:spacing w:before="200" w:after="60" w:line="230" w:lineRule="atLeast"/>
        <w:ind w:firstLine="567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6" w:name="st_608"/>
      <w:bookmarkEnd w:id="6"/>
      <w:r w:rsidRPr="00E66D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Статья 608. Ответственность продавца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Арендатор вправе предъявлять непосредственно продавцу имущества, являющегося предметом договора финансовой аренды, требования, вытекающие из договора купли-продажи, заключенного между продавцом и арендодателем, в частности, в отношении качества и комплектности имущества, сроков его поставки, и в других случаях ненадлежащего исполнения договора продавцом. При этом арендатор имеет права и несет обязанности, предусмотренные настоящим Кодексом для покупателя, кроме обязанности оплатить приобретенное имущество, как если бы он был стороной договора купли-продажи указанного имущества. Однако, арендатор не может расторгнуть договор купли-продажи с продавцом без согласия арендодателя.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отношениях с продавцом арендатор и арендодатель выступают как солидарные кредиторы (</w:t>
      </w:r>
      <w:hyperlink r:id="rId32" w:anchor="st_312" w:history="1">
        <w:r w:rsidRPr="00E66DE3">
          <w:rPr>
            <w:rFonts w:ascii="Arial" w:eastAsia="Times New Roman" w:hAnsi="Arial" w:cs="Arial"/>
            <w:color w:val="990066"/>
            <w:sz w:val="20"/>
            <w:szCs w:val="20"/>
            <w:u w:val="single"/>
            <w:lang w:eastAsia="ru-RU"/>
          </w:rPr>
          <w:t>статья 312</w:t>
        </w:r>
      </w:hyperlink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E66DE3" w:rsidRPr="00E66DE3" w:rsidRDefault="00E66DE3" w:rsidP="00E66DE3">
      <w:pPr>
        <w:shd w:val="clear" w:color="auto" w:fill="FFFFFF"/>
        <w:spacing w:after="60" w:line="23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6D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Если иное не предусмотрено договором финансовой аренды, арендодатель не отвечает перед арендатором за выполнение продавцом требований, вытекающих из договора купли-продажи, кроме случаев, когда ответственность за выбор продавца лежит на арендодателе. В последнем случае арендатор вправе по своему выбору предъявлять требования, вытекающие из договора купли-продажи, как непосредственно продавцу имущества, так и арендодателю, которые несут солидарную ответственность.</w:t>
      </w:r>
    </w:p>
    <w:p w:rsidR="001F0B6B" w:rsidRDefault="001F0B6B"/>
    <w:sectPr w:rsidR="001F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42"/>
    <w:rsid w:val="001F0B6B"/>
    <w:rsid w:val="0040081E"/>
    <w:rsid w:val="00D45642"/>
    <w:rsid w:val="00E66DE3"/>
    <w:rsid w:val="00F5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F97B6-A599-4CE3-95D6-7B55560F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4">
    <w:name w:val="tkzagolovok4"/>
    <w:basedOn w:val="a"/>
    <w:rsid w:val="00E66DE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tkkomentarij">
    <w:name w:val="tkkomentarij"/>
    <w:basedOn w:val="a"/>
    <w:rsid w:val="00E66DE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66DE3"/>
  </w:style>
  <w:style w:type="character" w:styleId="a3">
    <w:name w:val="Hyperlink"/>
    <w:basedOn w:val="a0"/>
    <w:uiPriority w:val="99"/>
    <w:semiHidden/>
    <w:unhideWhenUsed/>
    <w:rsid w:val="00E66DE3"/>
    <w:rPr>
      <w:color w:val="0000FF"/>
      <w:u w:val="single"/>
    </w:rPr>
  </w:style>
  <w:style w:type="paragraph" w:customStyle="1" w:styleId="tkzagolovok5">
    <w:name w:val="tkzagolovok5"/>
    <w:basedOn w:val="a"/>
    <w:rsid w:val="00E66DE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tktekst">
    <w:name w:val="tktekst"/>
    <w:basedOn w:val="a"/>
    <w:rsid w:val="00E66DE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tkredakcijatekst">
    <w:name w:val="tkredakcijatekst"/>
    <w:basedOn w:val="a"/>
    <w:rsid w:val="00E66DE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tkforma">
    <w:name w:val="tkforma"/>
    <w:basedOn w:val="a"/>
    <w:rsid w:val="00E66DE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tkrekvizit">
    <w:name w:val="tkrekvizit"/>
    <w:basedOn w:val="a"/>
    <w:rsid w:val="00E66DE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tkredakcijaspisok">
    <w:name w:val="tkredakcijaspisok"/>
    <w:basedOn w:val="a"/>
    <w:rsid w:val="00E66DE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.toktom.kg/new/82138-0" TargetMode="External"/><Relationship Id="rId18" Type="http://schemas.openxmlformats.org/officeDocument/2006/relationships/hyperlink" Target="https://online.toktom.kg/new/117401-0" TargetMode="External"/><Relationship Id="rId26" Type="http://schemas.openxmlformats.org/officeDocument/2006/relationships/hyperlink" Target="https://online.toktom.kg/new/3110-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toktom.kg/new/119842-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online.toktom.kg/new/40600-0" TargetMode="External"/><Relationship Id="rId12" Type="http://schemas.openxmlformats.org/officeDocument/2006/relationships/hyperlink" Target="https://online.toktom.kg/new/80780-0" TargetMode="External"/><Relationship Id="rId17" Type="http://schemas.openxmlformats.org/officeDocument/2006/relationships/hyperlink" Target="https://online.toktom.kg/new/105846-0" TargetMode="External"/><Relationship Id="rId25" Type="http://schemas.openxmlformats.org/officeDocument/2006/relationships/hyperlink" Target="https://online.toktom.kg/new/131006-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nline.toktom.kg/new/91524-0" TargetMode="External"/><Relationship Id="rId20" Type="http://schemas.openxmlformats.org/officeDocument/2006/relationships/hyperlink" Target="https://online.toktom.kg/new/119632-0" TargetMode="External"/><Relationship Id="rId29" Type="http://schemas.openxmlformats.org/officeDocument/2006/relationships/hyperlink" Target="https://online.toktom.kg/new/Search/Correspondents?documentCode=3128&amp;editionCode=72&amp;documentLang=rus&amp;label=st_604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toktom.kg/new/15546-0" TargetMode="External"/><Relationship Id="rId11" Type="http://schemas.openxmlformats.org/officeDocument/2006/relationships/hyperlink" Target="https://online.toktom.kg/new/75112-0" TargetMode="External"/><Relationship Id="rId24" Type="http://schemas.openxmlformats.org/officeDocument/2006/relationships/hyperlink" Target="https://online.toktom.kg/new/128782-0" TargetMode="External"/><Relationship Id="rId32" Type="http://schemas.openxmlformats.org/officeDocument/2006/relationships/hyperlink" Target="https://online.toktom.kg/new/1364-0" TargetMode="External"/><Relationship Id="rId5" Type="http://schemas.openxmlformats.org/officeDocument/2006/relationships/hyperlink" Target="https://online.toktom.kg/new/14860-0" TargetMode="External"/><Relationship Id="rId15" Type="http://schemas.openxmlformats.org/officeDocument/2006/relationships/hyperlink" Target="https://online.toktom.kg/new/89151-0" TargetMode="External"/><Relationship Id="rId23" Type="http://schemas.openxmlformats.org/officeDocument/2006/relationships/hyperlink" Target="https://online.toktom.kg/new/124606-0" TargetMode="External"/><Relationship Id="rId28" Type="http://schemas.openxmlformats.org/officeDocument/2006/relationships/hyperlink" Target="https://online.toktom.kg/new/57584-0" TargetMode="External"/><Relationship Id="rId10" Type="http://schemas.openxmlformats.org/officeDocument/2006/relationships/hyperlink" Target="https://online.toktom.kg/new/57584-0" TargetMode="External"/><Relationship Id="rId19" Type="http://schemas.openxmlformats.org/officeDocument/2006/relationships/hyperlink" Target="https://online.toktom.kg/new/118778-0" TargetMode="External"/><Relationship Id="rId31" Type="http://schemas.openxmlformats.org/officeDocument/2006/relationships/hyperlink" Target="https://online.toktom.kg/new/122895-0" TargetMode="External"/><Relationship Id="rId4" Type="http://schemas.openxmlformats.org/officeDocument/2006/relationships/hyperlink" Target="https://online.toktom.kg/new/11309-0" TargetMode="External"/><Relationship Id="rId9" Type="http://schemas.openxmlformats.org/officeDocument/2006/relationships/hyperlink" Target="https://online.toktom.kg/new/38652-0" TargetMode="External"/><Relationship Id="rId14" Type="http://schemas.openxmlformats.org/officeDocument/2006/relationships/hyperlink" Target="https://online.toktom.kg/new/85927-0" TargetMode="External"/><Relationship Id="rId22" Type="http://schemas.openxmlformats.org/officeDocument/2006/relationships/hyperlink" Target="https://online.toktom.kg/new/122895-0" TargetMode="External"/><Relationship Id="rId27" Type="http://schemas.openxmlformats.org/officeDocument/2006/relationships/hyperlink" Target="https://online.toktom.kg/new/30924-0" TargetMode="External"/><Relationship Id="rId30" Type="http://schemas.openxmlformats.org/officeDocument/2006/relationships/image" Target="media/image1.png"/><Relationship Id="rId8" Type="http://schemas.openxmlformats.org/officeDocument/2006/relationships/hyperlink" Target="https://online.toktom.kg/new/33789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5106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2015-09-07T03:46:00Z</dcterms:created>
  <dcterms:modified xsi:type="dcterms:W3CDTF">2015-09-07T03:47:00Z</dcterms:modified>
</cp:coreProperties>
</file>